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0A55FA2" w:rsidR="00561F57" w:rsidRDefault="0032175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tehnik, tase 4</w:t>
      </w:r>
    </w:p>
    <w:p w14:paraId="6A117BC2" w14:textId="36F6CC85" w:rsidR="00FE70C3" w:rsidRDefault="00FE70C3" w:rsidP="00DF0F98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5F551700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5E6035F6" w14:textId="68DA9DA7" w:rsidR="00DF0F98" w:rsidRDefault="00DF0F98" w:rsidP="00400626">
      <w:pPr>
        <w:ind w:left="142"/>
        <w:rPr>
          <w:rFonts w:ascii="Calibri" w:hAnsi="Calibri"/>
          <w:sz w:val="22"/>
          <w:szCs w:val="22"/>
        </w:rPr>
      </w:pPr>
    </w:p>
    <w:p w14:paraId="25DF09CE" w14:textId="6F231041" w:rsidR="00DF0F98" w:rsidRDefault="00DF0F98" w:rsidP="00400626">
      <w:pPr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Kutsestandard Turvasüsteemide tehnik, tase 4 on aluseks jätkuõppe õppekava ning koolilõpu ja töömaailma kutse andmisele.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3D1794F" w:rsidR="00576E64" w:rsidRPr="00FE70C3" w:rsidRDefault="0032175A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Turvasüsteemide tehnik</w:t>
            </w:r>
            <w:r w:rsidR="007F30FE">
              <w:rPr>
                <w:rFonts w:ascii="Calibri" w:hAnsi="Calibri"/>
                <w:i/>
                <w:sz w:val="28"/>
                <w:szCs w:val="28"/>
              </w:rPr>
              <w:t>, tase 4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4FB98A71" w:rsidR="00576E64" w:rsidRPr="00FE70C3" w:rsidRDefault="0032175A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913ECD2" w14:textId="51A86A9D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tehnik, tase 4 tööks on turvasüsteemide ja tuleohutuspaigaldiste ehitamine, hooldamine ja hooldusaktide allkirjastamine. Turvasüsteemide tehnik, tase 4 täidab oma tööülesandeid iseseisvalt ja vastutab oma töö eest. Turvasüsteemide tehnik, tase 4 võib juhendada turvasüsteemide tehnik, tase 3 hooldustööde tegemisel.</w:t>
            </w:r>
          </w:p>
          <w:p w14:paraId="450EDED4" w14:textId="77777777" w:rsidR="00060CE5" w:rsidRDefault="00060CE5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2EB9CDB" w14:textId="10029789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tegutseb vähemalt ühel järgmistest tegevusvaldkondadest: turvasüsteemide paigaldamine ja hooldamine; tulekahjusignalisatsioonisüsteemi paigaldamine ja hooldamine; gaaskustutussüsteemi paigaldamine ja hooldamine; vee- ja vahttulekustutuse süsteemide paigaldamine ja hooldamine; suitsutõrjesüsteemi paigaldamine ja hooldamine; ehitise teavitamissüsteemi paigaldamine ja hooldamine; hädavalgustuse paigaldamine ja hooldamine; fluoreeritud gaase sisaldavate gaaskustutussüsteemide paigaldamine ja hooldamine, tuleohutusautomaatika paigaldamine ja hooldus. </w:t>
            </w:r>
          </w:p>
          <w:p w14:paraId="4E7C1BF0" w14:textId="77777777" w:rsidR="003A2BDD" w:rsidRP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9CA3757" w14:textId="0AE03302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tehniku kutsealal töötab ka turvasüsteemide tehnik, tase 3, kes osaleb turvasüsteemide ja tuleohutuspaigaldiste ehitamises </w:t>
            </w:r>
            <w:r w:rsidR="00A6336D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hooldamises ning turvasüsteemide vastutav spetsialist, tase 5, kelle ülesanne on turvas</w:t>
            </w:r>
            <w:r>
              <w:rPr>
                <w:rFonts w:ascii="Calibri" w:hAnsi="Calibri"/>
                <w:iCs/>
                <w:sz w:val="22"/>
                <w:szCs w:val="22"/>
              </w:rPr>
              <w:t>ü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steemide ja tuleohutuspaigaldiste ehitamise ja hooldamise korraldamine, sh turvasüsteemide tehnik, tase 3 ja tase 4 töö</w:t>
            </w:r>
            <w:r w:rsidR="00A6336D">
              <w:rPr>
                <w:rFonts w:ascii="Calibri" w:hAnsi="Calibri"/>
                <w:iCs/>
                <w:sz w:val="22"/>
                <w:szCs w:val="22"/>
              </w:rPr>
              <w:t xml:space="preserve"> juhtimine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2296F708" w14:textId="77777777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9863C52" w14:textId="77777777" w:rsidR="00D24292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tehniku töövahenditeks on käsi- ja spetsiaaltööriistad, redelid, tõstukid, mõõteseadmed, tehniline dokumentatsioon, normdokumendid (standardid, juhendid), arvutid ja nende tarkvara, spetsiaalseid seadmed ja programmid ning isikukaitsevahendid vastavalt objekti eripärale. Töö eripäraks võib olla: töö kõrgustes, välitingimustes, tolm, müra, madalad ja kõrged temperatuurid, niiskus.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9FE2492" w14:textId="77777777" w:rsidR="00D24292" w:rsidRDefault="00D24292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0DC50283" w:rsidR="003972FA" w:rsidRP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tehnik, tase 4 omab ka turvasüsteemide tehnik tase 3 kompetentse.</w:t>
            </w:r>
          </w:p>
        </w:tc>
      </w:tr>
      <w:tr w:rsidR="002C45A8" w14:paraId="63737936" w14:textId="77777777" w:rsidTr="00E861FA">
        <w:tc>
          <w:tcPr>
            <w:tcW w:w="9356" w:type="dxa"/>
            <w:shd w:val="clear" w:color="auto" w:fill="auto"/>
          </w:tcPr>
          <w:p w14:paraId="0884A325" w14:textId="01EBC197" w:rsidR="002C45A8" w:rsidRPr="003A2BDD" w:rsidRDefault="002C45A8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2C45A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50E0AFB9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3A2BDD">
              <w:rPr>
                <w:rFonts w:ascii="Calibri" w:hAnsi="Calibri"/>
                <w:sz w:val="22"/>
                <w:szCs w:val="22"/>
              </w:rPr>
              <w:t xml:space="preserve"> Töö planeerimine ja korraldamine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14228928" w14:textId="56C2380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3A2BDD">
              <w:rPr>
                <w:rFonts w:ascii="Calibri" w:hAnsi="Calibri"/>
                <w:sz w:val="22"/>
                <w:szCs w:val="22"/>
              </w:rPr>
              <w:t>Töökeskkonna ohutuse tagamine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274FD972" w14:textId="73EC4CFD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3A2BDD">
              <w:rPr>
                <w:rFonts w:ascii="Calibri" w:hAnsi="Calibri"/>
                <w:sz w:val="22"/>
                <w:szCs w:val="22"/>
              </w:rPr>
              <w:t>Paigaldiste ning seadmete paigaldus- ja ehitustööd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330541D2" w14:textId="4B528E0E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Süsteemi häälestamine ja testimine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46CDBBB0" w14:textId="39208A93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Paigaldiste kontroll ja hooldus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027D7F8C" w14:textId="3070FAED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3A2BDD">
              <w:rPr>
                <w:rFonts w:ascii="Calibri" w:hAnsi="Calibri"/>
                <w:sz w:val="22"/>
                <w:szCs w:val="22"/>
              </w:rPr>
              <w:t>Paigaldustööde dokumenteerimine ja dokumentide allkirjastamine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574B9B13" w14:textId="7957218C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Hooldustööde dokumenteerimine ja dokumentide allkirjastamine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3AD6B4F1" w14:textId="1EAEF4B1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A.2.8 Kasutajakoolituse läbi viimine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4D757D8E" w14:textId="4CD5F2BB" w:rsidR="003A2BDD" w:rsidRPr="00391E74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C45A8" w14:paraId="15034670" w14:textId="77777777" w:rsidTr="00520BDC">
        <w:tc>
          <w:tcPr>
            <w:tcW w:w="9356" w:type="dxa"/>
            <w:shd w:val="clear" w:color="auto" w:fill="auto"/>
          </w:tcPr>
          <w:p w14:paraId="01117006" w14:textId="4235588C" w:rsidR="002C45A8" w:rsidRPr="00AF7D6B" w:rsidRDefault="002C45A8" w:rsidP="00116699">
            <w:pPr>
              <w:rPr>
                <w:rFonts w:ascii="Calibri" w:hAnsi="Calibri"/>
                <w:sz w:val="22"/>
                <w:szCs w:val="22"/>
              </w:rPr>
            </w:pPr>
            <w:r w:rsidRPr="002C45A8">
              <w:rPr>
                <w:rFonts w:ascii="Calibri" w:hAnsi="Calibri"/>
                <w:color w:val="FF0000"/>
                <w:sz w:val="22"/>
                <w:szCs w:val="22"/>
              </w:rPr>
              <w:t>Ettepanekud tööosade kohta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476E6205" w14:textId="38EDF574" w:rsidR="003A2BDD" w:rsidRDefault="00116699" w:rsidP="003A2B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D40AB2">
              <w:rPr>
                <w:rFonts w:ascii="Calibri" w:hAnsi="Calibri"/>
                <w:sz w:val="22"/>
                <w:szCs w:val="22"/>
              </w:rPr>
              <w:t xml:space="preserve">9 </w:t>
            </w:r>
            <w:r w:rsidR="00D40AB2" w:rsidRPr="00D40AB2">
              <w:rPr>
                <w:rFonts w:ascii="Calibri" w:hAnsi="Calibri"/>
                <w:sz w:val="22"/>
                <w:szCs w:val="22"/>
              </w:rPr>
              <w:t>Häiresüsteemi paigaldamine ja hooldus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6A32922D" w14:textId="1BEE441A" w:rsidR="00D40AB2" w:rsidRDefault="00116699" w:rsidP="003A2BDD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D40AB2">
              <w:rPr>
                <w:rFonts w:ascii="Calibri" w:hAnsi="Calibri"/>
                <w:sz w:val="22"/>
                <w:szCs w:val="22"/>
              </w:rPr>
              <w:t xml:space="preserve">10 </w:t>
            </w:r>
            <w:r w:rsidR="00D40AB2" w:rsidRPr="00D40AB2">
              <w:rPr>
                <w:rFonts w:ascii="Calibri" w:hAnsi="Calibri"/>
                <w:sz w:val="22"/>
                <w:szCs w:val="22"/>
              </w:rPr>
              <w:t>Jälgimissüsteemi paigaldamine ja hooldus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38A7C1C8" w14:textId="1EB74E92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A.2.11 </w:t>
            </w:r>
            <w:r w:rsidRPr="00D40AB2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4CDDC11B" w14:textId="794E088F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A.2.12 </w:t>
            </w:r>
            <w:r w:rsidRPr="00D40AB2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1872E4E6" w14:textId="41AB47C4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A.2.13 </w:t>
            </w:r>
            <w:r w:rsidRPr="00D40AB2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0EBCF4C3" w14:textId="62ED00BE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A.2.14 </w:t>
            </w:r>
            <w:r w:rsidRPr="00D40AB2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733E07F7" w14:textId="3942715C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A.2.15 </w:t>
            </w:r>
            <w:r w:rsidRPr="00D40AB2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2913AE51" w14:textId="4503A552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A.2.16 </w:t>
            </w:r>
            <w:r w:rsidRPr="00D40AB2">
              <w:rPr>
                <w:rFonts w:ascii="Calibri" w:hAnsi="Calibri"/>
                <w:sz w:val="22"/>
                <w:szCs w:val="22"/>
              </w:rPr>
              <w:t>Hädavalgustuse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066F51DE" w14:textId="37EA1EE5" w:rsidR="00D40AB2" w:rsidRDefault="00D40AB2" w:rsidP="003A2B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A.2.17 </w:t>
            </w:r>
            <w:r w:rsidRPr="00D40AB2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  <w:p w14:paraId="3154C9E2" w14:textId="2BB00472" w:rsidR="00116699" w:rsidRPr="007650EA" w:rsidRDefault="00D40AB2" w:rsidP="00D40A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A.2.18 </w:t>
            </w:r>
            <w:r w:rsidRPr="00D40AB2">
              <w:rPr>
                <w:rFonts w:ascii="Calibri" w:hAnsi="Calibri"/>
                <w:sz w:val="22"/>
                <w:szCs w:val="22"/>
              </w:rPr>
              <w:t>Fluoreeritud gaase sisaldavate gaaskustutussüsteemide käitlemine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  <w:r w:rsidR="00116699"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C45A8" w:rsidRPr="00D00D22" w14:paraId="328861FD" w14:textId="77777777" w:rsidTr="00520BDC">
        <w:tc>
          <w:tcPr>
            <w:tcW w:w="9356" w:type="dxa"/>
            <w:shd w:val="clear" w:color="auto" w:fill="auto"/>
          </w:tcPr>
          <w:p w14:paraId="7FC137D8" w14:textId="34E15982" w:rsidR="002C45A8" w:rsidRPr="00AF7D6B" w:rsidRDefault="002C45A8" w:rsidP="003A2BDD">
            <w:pPr>
              <w:rPr>
                <w:rFonts w:ascii="Calibri" w:hAnsi="Calibri"/>
                <w:sz w:val="22"/>
                <w:szCs w:val="22"/>
              </w:rPr>
            </w:pPr>
            <w:r w:rsidRPr="002C45A8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valitavate tööosade kohta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30DA4D8" w:rsidR="00A677EE" w:rsidRPr="003A2BDD" w:rsidRDefault="003A2BDD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A2BDD">
              <w:rPr>
                <w:rFonts w:ascii="Calibri" w:hAnsi="Calibri"/>
                <w:bCs/>
                <w:sz w:val="22"/>
                <w:szCs w:val="22"/>
              </w:rPr>
              <w:t>Turvasüsteemide tehnik, tase 4 on tavapäraselt keskharidusega või keskeriharidusega isik, kes on kutsealased oskused omandatud töö käigus või kutseõppeasutuses või täiend</w:t>
            </w:r>
            <w:r w:rsidR="00D24292">
              <w:rPr>
                <w:rFonts w:ascii="Calibri" w:hAnsi="Calibri"/>
                <w:bCs/>
                <w:sz w:val="22"/>
                <w:szCs w:val="22"/>
              </w:rPr>
              <w:t>us</w:t>
            </w:r>
            <w:r w:rsidRPr="003A2BDD">
              <w:rPr>
                <w:rFonts w:ascii="Calibri" w:hAnsi="Calibri"/>
                <w:bCs/>
                <w:sz w:val="22"/>
                <w:szCs w:val="22"/>
              </w:rPr>
              <w:t>koolitusel.</w:t>
            </w:r>
          </w:p>
        </w:tc>
      </w:tr>
      <w:tr w:rsidR="00005341" w:rsidRPr="00D00D22" w14:paraId="66123DEC" w14:textId="77777777" w:rsidTr="00A677EE">
        <w:tc>
          <w:tcPr>
            <w:tcW w:w="9356" w:type="dxa"/>
            <w:shd w:val="clear" w:color="auto" w:fill="auto"/>
          </w:tcPr>
          <w:p w14:paraId="576202CC" w14:textId="286F361E" w:rsidR="00005341" w:rsidRPr="00005341" w:rsidRDefault="00005341" w:rsidP="005B4C8E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005341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 kutsealase ettevalmistuse kohta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87A6303" w:rsidR="00A677EE" w:rsidRPr="003A2BDD" w:rsidRDefault="003A2BDD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Valve-, turva-, tuleohutussüsteemide tehnik, paigaldustehnik, hooldustehnik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005341" w:rsidRPr="00D00D22" w14:paraId="4CDB123B" w14:textId="77777777" w:rsidTr="00520BDC">
        <w:tc>
          <w:tcPr>
            <w:tcW w:w="9356" w:type="dxa"/>
            <w:shd w:val="clear" w:color="auto" w:fill="auto"/>
          </w:tcPr>
          <w:p w14:paraId="476A1CAE" w14:textId="5303F61D" w:rsidR="00005341" w:rsidRPr="003A2BDD" w:rsidRDefault="00005341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5341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enamlevinud ametinimetuste kohta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64FF299" w:rsidR="005B4C8E" w:rsidRPr="00AF7D6B" w:rsidRDefault="00A519C3" w:rsidP="005B4C8E">
            <w:pPr>
              <w:rPr>
                <w:rFonts w:ascii="Calibri" w:hAnsi="Calibri"/>
                <w:sz w:val="22"/>
                <w:szCs w:val="22"/>
              </w:rPr>
            </w:pPr>
            <w:r w:rsidRPr="00A519C3">
              <w:rPr>
                <w:rFonts w:ascii="Calibri" w:hAnsi="Calibri"/>
                <w:sz w:val="22"/>
                <w:szCs w:val="22"/>
              </w:rPr>
              <w:t>Töötamine turvasüsteemide tehnik, tase 4na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07D761D" w:rsidR="0036125E" w:rsidRPr="00B3749B" w:rsidRDefault="0053633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Selle kutse taotlemisel on nõutav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(B.2) ja kohustuslike kompetentside B.3.1-B.3.8 tõendamine</w:t>
            </w:r>
            <w:r w:rsidR="00C52641">
              <w:rPr>
                <w:rFonts w:ascii="Calibri" w:hAnsi="Calibri"/>
                <w:iCs/>
                <w:sz w:val="22"/>
                <w:szCs w:val="22"/>
              </w:rPr>
              <w:t xml:space="preserve">. Valitavatest kompetentsidest B.3.9-B.3.18 tuleb tõendada vähemalt üks.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24D7E52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A519C3">
              <w:rPr>
                <w:rFonts w:ascii="Calibri" w:hAnsi="Calibri"/>
                <w:b/>
                <w:sz w:val="22"/>
                <w:szCs w:val="22"/>
              </w:rPr>
              <w:t>Turvasüsteemide tehnik,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21403A1" w14:textId="4DE7E56C" w:rsidR="00557050" w:rsidRDefault="00A519C3" w:rsidP="00A519C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Kasutab eesti keelt tasemel B1 (vt lisa 1 "Keelte oskustasemete kirjeldused")</w:t>
            </w:r>
            <w:r w:rsidR="000053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A285048" w14:textId="54594D54" w:rsidR="00A519C3" w:rsidRDefault="00A519C3" w:rsidP="00A519C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A519C3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 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Algtasemel kasutaja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0053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33AEC29" w14:textId="77777777" w:rsidR="00A519C3" w:rsidRDefault="00A519C3" w:rsidP="00A519C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meeskonnas, juhendab meeskonnaliikmete tavatööd; peab kinni meeskonna liikmete vahelistest kokkulepetest;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on avatud koostööle ja toetab meeskonna tulemuslikku tegutsemist; reageerib asjakohaselt meeskonnaliikmete vajadustele ja tagasisidele; jagab meeskonnaliikmetega vajalikku informatsiooni; korraldab töölõigu sujuva toimimise, lähtudes juhistest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64A0326" w14:textId="77777777" w:rsidR="00A519C3" w:rsidRDefault="00A519C3" w:rsidP="00A519C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suhtleb konstruktiivselt hoiab häid suhted klientide ja kolleegidega; tuleb toime keerukates suhtlusolukordades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335CE0C8" w:rsidR="00A519C3" w:rsidRPr="00A519C3" w:rsidRDefault="00A519C3" w:rsidP="00A519C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005341" w:rsidRPr="00D6436B" w14:paraId="1F9E2EA1" w14:textId="77777777" w:rsidTr="002D21A5">
        <w:tc>
          <w:tcPr>
            <w:tcW w:w="9214" w:type="dxa"/>
            <w:shd w:val="clear" w:color="auto" w:fill="auto"/>
          </w:tcPr>
          <w:p w14:paraId="237D792B" w14:textId="040C9585" w:rsidR="00005341" w:rsidRPr="00005341" w:rsidRDefault="00005341" w:rsidP="000053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5341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Pr="00005341"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005341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31D9A3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D3986">
              <w:rPr>
                <w:rFonts w:ascii="Calibri" w:hAnsi="Calibri"/>
                <w:b/>
                <w:sz w:val="22"/>
                <w:szCs w:val="22"/>
              </w:rPr>
              <w:t>Töö planeerimine ja korraldamine</w:t>
            </w:r>
          </w:p>
        </w:tc>
        <w:tc>
          <w:tcPr>
            <w:tcW w:w="1213" w:type="dxa"/>
          </w:tcPr>
          <w:p w14:paraId="52FBD7D6" w14:textId="3944F473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49DE22B3" w14:textId="5C735D25" w:rsidR="00610B6B" w:rsidRPr="00BD3986" w:rsidRDefault="00610B6B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A4B2060" w14:textId="4EE32E0F" w:rsidR="00154D69" w:rsidRDefault="008D471E" w:rsidP="00154D6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utvub tööülesande sisuga, juhindudes vahetult juhilt saadud korraldustest ja juhendist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7F25BB25" w14:textId="0DDBAC57" w:rsidR="00154D69" w:rsidRDefault="004821BA" w:rsidP="00AF4CB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ärjestab oma tegevused, arvestades ülesannete loogilist järjekorda tööetappide teostamiseks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72055026" w:rsidR="00610B6B" w:rsidRPr="00610B6B" w:rsidRDefault="004821BA" w:rsidP="008D471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alib töövahendid ja materjalid vastavalt tööülesandele ja vahendite kasutusjuhendile, arvestades ülesande eripära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19C3" w14:paraId="6FB00173" w14:textId="77777777" w:rsidTr="00032EE9">
        <w:tc>
          <w:tcPr>
            <w:tcW w:w="8109" w:type="dxa"/>
          </w:tcPr>
          <w:p w14:paraId="39F39EEF" w14:textId="25B39210" w:rsidR="00A519C3" w:rsidRPr="00610B6B" w:rsidRDefault="00BD3986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B.3.2 Töökeskkonna ohutuse planeerimine</w:t>
            </w:r>
          </w:p>
        </w:tc>
        <w:tc>
          <w:tcPr>
            <w:tcW w:w="1213" w:type="dxa"/>
          </w:tcPr>
          <w:p w14:paraId="5224FAA2" w14:textId="58550A1C" w:rsidR="00A519C3" w:rsidRPr="00610B6B" w:rsidRDefault="00BD3986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68BF4153" w14:textId="77777777" w:rsidTr="00610B6B">
        <w:tc>
          <w:tcPr>
            <w:tcW w:w="9322" w:type="dxa"/>
            <w:gridSpan w:val="2"/>
          </w:tcPr>
          <w:p w14:paraId="31C0B9E4" w14:textId="77777777" w:rsidR="00BD3986" w:rsidRPr="00F8155A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8450303" w14:textId="26BC3149" w:rsidR="00154D69" w:rsidRPr="00154D69" w:rsidRDefault="008D471E" w:rsidP="00154D69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rvestab oma töös tööohutusnõuete ja objekti eeskirjadega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6A915FE1" w14:textId="1156A139" w:rsidR="00154D69" w:rsidRPr="00154D69" w:rsidRDefault="004821BA" w:rsidP="00154D69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ärgib objektile kehtestatud töökeskkonna ohutuse reegleid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66183A1D" w14:textId="48FDB5F6" w:rsidR="00154D69" w:rsidRPr="00154D69" w:rsidRDefault="004821BA" w:rsidP="00154D69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ärgib oma töös tule- ja elektriohutuse nõudeid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4A7A62A5" w14:textId="08DCDB81" w:rsidR="00154D69" w:rsidRPr="00154D69" w:rsidRDefault="004821BA" w:rsidP="00154D69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oiab oma tööpaiga korras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77F44B9A" w:rsidR="00BD3986" w:rsidRPr="00A519C3" w:rsidRDefault="004821BA" w:rsidP="008D471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asutab oma töös töö- ja isikukaitsevahendeid ja veendub nende korrasolekus.</w:t>
            </w:r>
          </w:p>
        </w:tc>
      </w:tr>
      <w:tr w:rsidR="00BD3986" w14:paraId="4C7EDA9A" w14:textId="77777777" w:rsidTr="00BD3986">
        <w:tc>
          <w:tcPr>
            <w:tcW w:w="8109" w:type="dxa"/>
          </w:tcPr>
          <w:p w14:paraId="2074640B" w14:textId="0C005BBB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ning seadmete paigaldus- ja ehitustöö</w:t>
            </w:r>
          </w:p>
        </w:tc>
        <w:tc>
          <w:tcPr>
            <w:tcW w:w="1213" w:type="dxa"/>
          </w:tcPr>
          <w:p w14:paraId="2D87C434" w14:textId="154C6B4D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2AD41DF7" w14:textId="77777777" w:rsidTr="00610B6B">
        <w:tc>
          <w:tcPr>
            <w:tcW w:w="9322" w:type="dxa"/>
            <w:gridSpan w:val="2"/>
          </w:tcPr>
          <w:p w14:paraId="6F6D9A81" w14:textId="77777777" w:rsidR="00BD3986" w:rsidRPr="00F8155A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CB50FF4" w14:textId="5E2435B8" w:rsidR="00154D69" w:rsidRPr="00154D69" w:rsidRDefault="008D471E" w:rsidP="00154D69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alib paigaldiste ning seadmete paigaldus- ja ehitustöödeks vajalikud töövahendid ja komplekteerib seadmed ja materjalid; valmistab töövahendid tööks ette vastavalt juhenditele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1931CD00" w14:textId="41BABCB2" w:rsidR="00154D69" w:rsidRPr="00154D69" w:rsidRDefault="004821BA" w:rsidP="00154D69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eeb ehitustöid oma valdkonnas vastavalt projektile, arvestades </w:t>
            </w:r>
            <w:proofErr w:type="spellStart"/>
            <w:r w:rsidR="00154D69" w:rsidRPr="00154D69">
              <w:rPr>
                <w:rFonts w:ascii="Calibri" w:hAnsi="Calibri"/>
                <w:sz w:val="22"/>
                <w:szCs w:val="22"/>
              </w:rPr>
              <w:t>üldehituslik</w:t>
            </w:r>
            <w:r w:rsidR="00154D69">
              <w:rPr>
                <w:rFonts w:ascii="Calibri" w:hAnsi="Calibri"/>
                <w:sz w:val="22"/>
                <w:szCs w:val="22"/>
              </w:rPr>
              <w:t>k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</w:t>
            </w:r>
            <w:proofErr w:type="spellEnd"/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 nõudeid ja objekti eripära, säilitades teiste süsteemide terviklikkuse; järgib olulisi ehituslikke ohutusnõudeid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269225CF" w14:textId="5268668A" w:rsidR="00154D69" w:rsidRPr="00154D69" w:rsidRDefault="004821BA" w:rsidP="00154D69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aigaldab kaableid kasutades sobivaid installatsioonimaterjale ning rajab kaabliteid arvestades tootja juhendeid, standardeid ja nõudeid; markeerib kaablid vastavalt projektile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4FC14180" w14:textId="528219B0" w:rsidR="00154D69" w:rsidRPr="00154D69" w:rsidRDefault="004821BA" w:rsidP="00154D69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aigaldab seadmeid, kasutades sobivaid materjale, arvestades tootja juhendeid, kehtivaid standardeid ja nõudeid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39952C5F" w14:textId="47529044" w:rsidR="00BD3986" w:rsidRPr="00154D69" w:rsidRDefault="004821BA" w:rsidP="00154D69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vajalikud ühendused, arvestades tootja juhendeid</w:t>
            </w:r>
            <w:r w:rsidR="00154D6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D3986" w14:paraId="320A76CA" w14:textId="77777777" w:rsidTr="00BD3986">
        <w:tc>
          <w:tcPr>
            <w:tcW w:w="8109" w:type="dxa"/>
          </w:tcPr>
          <w:p w14:paraId="36FD188F" w14:textId="19C31337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B.3.4 Süsteemi häälestamine ja testimine</w:t>
            </w:r>
          </w:p>
        </w:tc>
        <w:tc>
          <w:tcPr>
            <w:tcW w:w="1213" w:type="dxa"/>
          </w:tcPr>
          <w:p w14:paraId="3FAB8497" w14:textId="0837F414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6A418CD2" w14:textId="77777777" w:rsidTr="00610B6B">
        <w:tc>
          <w:tcPr>
            <w:tcW w:w="9322" w:type="dxa"/>
            <w:gridSpan w:val="2"/>
          </w:tcPr>
          <w:p w14:paraId="26D2E3F2" w14:textId="77777777" w:rsidR="00154D69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E40ECA3" w14:textId="522E0F35" w:rsidR="008D471E" w:rsidRDefault="008D471E" w:rsidP="00154D69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äälestab ja reguleerib süsteemi vastavalt lähteülesandele, arvestades objekti eripära; </w:t>
            </w:r>
          </w:p>
          <w:p w14:paraId="567BE65E" w14:textId="73F4231F" w:rsidR="00BD3986" w:rsidRPr="00A519C3" w:rsidRDefault="00154D69" w:rsidP="008D471E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154D69">
              <w:rPr>
                <w:rFonts w:ascii="Calibri" w:hAnsi="Calibri"/>
                <w:sz w:val="22"/>
                <w:szCs w:val="22"/>
              </w:rPr>
              <w:t>testib süsteemi toimimist koostöös teiste süsteemidega vastavalt töövõtu piirile</w:t>
            </w:r>
            <w:r w:rsidR="008D471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D3986" w14:paraId="587D27DE" w14:textId="77777777" w:rsidTr="00BD3986">
        <w:tc>
          <w:tcPr>
            <w:tcW w:w="8109" w:type="dxa"/>
          </w:tcPr>
          <w:p w14:paraId="163E3F30" w14:textId="6FDBC5FE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B.3.5 Paigaldiste kontroll ja hooldus</w:t>
            </w:r>
          </w:p>
        </w:tc>
        <w:tc>
          <w:tcPr>
            <w:tcW w:w="1213" w:type="dxa"/>
          </w:tcPr>
          <w:p w14:paraId="6FC44AF9" w14:textId="13082C73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5006682E" w14:textId="77777777" w:rsidTr="00610B6B">
        <w:tc>
          <w:tcPr>
            <w:tcW w:w="9322" w:type="dxa"/>
            <w:gridSpan w:val="2"/>
          </w:tcPr>
          <w:p w14:paraId="0F2C5483" w14:textId="32B5F90D" w:rsidR="00BD3986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044E24B" w14:textId="40E8A5C9" w:rsidR="00154D69" w:rsidRPr="00154D69" w:rsidRDefault="008D471E" w:rsidP="00154D6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kontrolli- ja hooldustoimingud vastavalt tehnilistele normidele, hooldusjuhendile, õigusaktidele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2DAA38CE" w14:textId="7B73747E" w:rsidR="00154D69" w:rsidRPr="00154D69" w:rsidRDefault="004821BA" w:rsidP="00154D6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tehnilisi mõõtmisi vastavalt hooldusjuhendile, kasutades nõuetele vastavaid mõõteseadmeid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7651FD57" w14:textId="696B4310" w:rsidR="00154D69" w:rsidRDefault="004821BA" w:rsidP="00154D6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uvastab rikke, uurib välja põhjuse; teavitab asjaosalisi vastavalt korrale; kõrvaldab rikke oma pädevuse piires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546F61C3" w14:textId="6CDCBAE4" w:rsidR="00BD3986" w:rsidRPr="00A519C3" w:rsidRDefault="004821BA" w:rsidP="008D471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indab süsteemi efektiivsust, töökindlust ja stabiilsust; teeb asjaosalistele ettepanekuid puuduste kõrvaldamiseks.</w:t>
            </w:r>
          </w:p>
        </w:tc>
      </w:tr>
      <w:tr w:rsidR="00BD3986" w14:paraId="5F712C4D" w14:textId="77777777" w:rsidTr="00BD3986">
        <w:tc>
          <w:tcPr>
            <w:tcW w:w="8109" w:type="dxa"/>
          </w:tcPr>
          <w:p w14:paraId="44EBA2F4" w14:textId="2FDD4047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B.3.6 Paigaldustööde dokumenteerimine ja dokumentide allkirjastamine</w:t>
            </w:r>
          </w:p>
        </w:tc>
        <w:tc>
          <w:tcPr>
            <w:tcW w:w="1213" w:type="dxa"/>
          </w:tcPr>
          <w:p w14:paraId="085FD4BE" w14:textId="34EF476F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BD3986" w14:paraId="669AF77F" w14:textId="77777777" w:rsidTr="00610B6B">
        <w:tc>
          <w:tcPr>
            <w:tcW w:w="9322" w:type="dxa"/>
            <w:gridSpan w:val="2"/>
          </w:tcPr>
          <w:p w14:paraId="430E859E" w14:textId="77777777" w:rsidR="00BD3986" w:rsidRPr="00F8155A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3BD776B" w14:textId="0231A48E" w:rsidR="00BD3986" w:rsidRPr="00154D69" w:rsidRDefault="008D471E" w:rsidP="00154D69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okumenteerib teostatud paigaldustööd vastavalt antud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D3986" w14:paraId="73114A88" w14:textId="77777777" w:rsidTr="00BD3986">
        <w:tc>
          <w:tcPr>
            <w:tcW w:w="8109" w:type="dxa"/>
          </w:tcPr>
          <w:p w14:paraId="32592088" w14:textId="14C01DF1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B.3.7 Hooldustööde dokumenteerimine ja dokumentide allkirjastamine</w:t>
            </w:r>
          </w:p>
        </w:tc>
        <w:tc>
          <w:tcPr>
            <w:tcW w:w="1213" w:type="dxa"/>
          </w:tcPr>
          <w:p w14:paraId="6215A2BE" w14:textId="6BAC5638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BD3986" w14:paraId="3B3EBC3F" w14:textId="77777777" w:rsidTr="00610B6B">
        <w:tc>
          <w:tcPr>
            <w:tcW w:w="9322" w:type="dxa"/>
            <w:gridSpan w:val="2"/>
          </w:tcPr>
          <w:p w14:paraId="02EB3060" w14:textId="77777777" w:rsidR="00BD3986" w:rsidRPr="00F8155A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065364D" w14:textId="3A642542" w:rsidR="00154D69" w:rsidRPr="00154D69" w:rsidRDefault="008D471E" w:rsidP="00154D69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okumenteerib hooldustegevused ja tulemused vastavalt kehtestatud korrale ja antud juhistele</w:t>
            </w:r>
            <w:r w:rsidR="004821BA">
              <w:rPr>
                <w:rFonts w:ascii="Calibri" w:hAnsi="Calibri"/>
                <w:sz w:val="22"/>
                <w:szCs w:val="22"/>
              </w:rPr>
              <w:t>;</w:t>
            </w:r>
          </w:p>
          <w:p w14:paraId="796538BE" w14:textId="3CB8DB1B" w:rsidR="00BD3986" w:rsidRPr="00154D69" w:rsidRDefault="004821BA" w:rsidP="00154D69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indab süsteemi efektiivsust, töökindlust ja stabiilsust; teostab rikete andlüüsi; teeb asjaosalistele ettepanekuid puuduste kõrvaldamiseks ja süsteemi parendamiseks oma pädevuse piirides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D3986" w14:paraId="59E3B3E6" w14:textId="77777777" w:rsidTr="00BD3986">
        <w:tc>
          <w:tcPr>
            <w:tcW w:w="8109" w:type="dxa"/>
          </w:tcPr>
          <w:p w14:paraId="41F5699C" w14:textId="605164AB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B.3.8 Kasutajakoolituse läbiviimine</w:t>
            </w:r>
          </w:p>
        </w:tc>
        <w:tc>
          <w:tcPr>
            <w:tcW w:w="1213" w:type="dxa"/>
          </w:tcPr>
          <w:p w14:paraId="70C89407" w14:textId="016D369F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BD3986" w14:paraId="3C71F5AD" w14:textId="77777777" w:rsidTr="00610B6B">
        <w:tc>
          <w:tcPr>
            <w:tcW w:w="9322" w:type="dxa"/>
            <w:gridSpan w:val="2"/>
          </w:tcPr>
          <w:p w14:paraId="3DD296C7" w14:textId="77777777" w:rsidR="00154D69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2CB4996" w14:textId="346C253D" w:rsidR="00154D69" w:rsidRPr="00154D69" w:rsidRDefault="008D471E" w:rsidP="00154D69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eeb kasutajakoolituse vastavalt juhistele</w:t>
            </w:r>
            <w:r w:rsidR="004821BA">
              <w:rPr>
                <w:rFonts w:ascii="Calibri" w:hAnsi="Calibri"/>
                <w:sz w:val="22"/>
                <w:szCs w:val="22"/>
              </w:rPr>
              <w:t>;</w:t>
            </w:r>
          </w:p>
          <w:p w14:paraId="0F795301" w14:textId="2DB0A5FE" w:rsidR="00BD3986" w:rsidRPr="00A519C3" w:rsidRDefault="004821BA" w:rsidP="008D471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ormistab koolitusakti vastavalt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05341" w14:paraId="09B93951" w14:textId="77777777" w:rsidTr="00610B6B">
        <w:tc>
          <w:tcPr>
            <w:tcW w:w="9322" w:type="dxa"/>
            <w:gridSpan w:val="2"/>
          </w:tcPr>
          <w:p w14:paraId="6E8BF169" w14:textId="7A0A60A3" w:rsidR="00005341" w:rsidRPr="00005341" w:rsidRDefault="00005341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05341">
              <w:rPr>
                <w:rFonts w:ascii="Calibri" w:hAnsi="Calibri"/>
                <w:color w:val="FF0000"/>
                <w:sz w:val="22"/>
                <w:szCs w:val="22"/>
              </w:rPr>
              <w:t>Ettepanekud kohu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s</w:t>
            </w:r>
            <w:r w:rsidRPr="00005341">
              <w:rPr>
                <w:rFonts w:ascii="Calibri" w:hAnsi="Calibri"/>
                <w:color w:val="FF0000"/>
                <w:sz w:val="22"/>
                <w:szCs w:val="22"/>
              </w:rPr>
              <w:t>tuslike kompetentside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77777777" w:rsidR="0055734D" w:rsidRDefault="0055734D"/>
    <w:p w14:paraId="1D6D9C0B" w14:textId="33DD61D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41063785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54D69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4D69" w:rsidRPr="00154D69">
              <w:rPr>
                <w:rFonts w:ascii="Calibri" w:hAnsi="Calibri"/>
                <w:b/>
                <w:sz w:val="22"/>
                <w:szCs w:val="22"/>
              </w:rPr>
              <w:t>Fluoreeritud gaase sisaldavate gaasikustutussüsteemide käitlemine</w:t>
            </w:r>
          </w:p>
        </w:tc>
        <w:tc>
          <w:tcPr>
            <w:tcW w:w="1247" w:type="dxa"/>
          </w:tcPr>
          <w:p w14:paraId="7FF41484" w14:textId="0EF421F4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123F9AC" w14:textId="0A3AE71F" w:rsidR="004821BA" w:rsidRPr="004821BA" w:rsidRDefault="008D471E" w:rsidP="004821B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>aigaldab ja hooldab ohutult fluoreeritud gaase sisaldavaid gaaskustutussüsteeme vastavalt EU komisjoni asjakohaste määruste nõuetele, kasutades vajalikke seadmeid ja töövahendeid ning töövõtteid;</w:t>
            </w:r>
          </w:p>
          <w:p w14:paraId="5219D59D" w14:textId="2630E32A" w:rsidR="004821BA" w:rsidRPr="004821BA" w:rsidRDefault="004821BA" w:rsidP="001F6854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</w:t>
            </w:r>
            <w:r w:rsidRPr="004821BA">
              <w:rPr>
                <w:rFonts w:ascii="Calibri" w:hAnsi="Calibri"/>
                <w:sz w:val="22"/>
                <w:szCs w:val="22"/>
              </w:rPr>
              <w:t>aigaldab fluoritud kasvuhoonegaase sisaldavaid gaaskustutussüsteemi mahuteid, arvestades survestatud mahutite teisaldamise nõudeid;</w:t>
            </w:r>
          </w:p>
          <w:p w14:paraId="4424DBB9" w14:textId="36883EC4" w:rsidR="004821BA" w:rsidRPr="004821BA" w:rsidRDefault="004821BA" w:rsidP="004821B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821BA">
              <w:rPr>
                <w:rFonts w:ascii="Calibri" w:hAnsi="Calibri"/>
                <w:sz w:val="22"/>
                <w:szCs w:val="22"/>
              </w:rPr>
              <w:t>ontrollib gaaskustutussüsteemi dokumente enne lekkekontrolli läbiviimist ning probleemsete kohtade ja korduvate probleemide kindlakstegemist; teostab nõuetekohase lekkekontrolli;</w:t>
            </w:r>
          </w:p>
          <w:p w14:paraId="7B5E6AB8" w14:textId="6C64740D" w:rsidR="005160D1" w:rsidRPr="00423CA7" w:rsidRDefault="004821BA" w:rsidP="008D471E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4821BA">
              <w:rPr>
                <w:rFonts w:ascii="Calibri" w:hAnsi="Calibri"/>
                <w:sz w:val="22"/>
                <w:szCs w:val="22"/>
              </w:rPr>
              <w:t>okumenteerib hooldustegevused vastavalt kehtestatud korrale.</w:t>
            </w: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25C881E7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54D69">
              <w:rPr>
                <w:rFonts w:ascii="Calibri" w:hAnsi="Calibri"/>
                <w:b/>
                <w:sz w:val="22"/>
                <w:szCs w:val="22"/>
              </w:rPr>
              <w:t xml:space="preserve">10 </w:t>
            </w:r>
            <w:r w:rsidR="00154D69" w:rsidRPr="00154D69">
              <w:rPr>
                <w:rFonts w:ascii="Calibri" w:hAnsi="Calibri"/>
                <w:b/>
                <w:sz w:val="22"/>
                <w:szCs w:val="22"/>
              </w:rPr>
              <w:t>Häiresüsteemi paigaldamine ja hooldamine</w:t>
            </w:r>
          </w:p>
        </w:tc>
        <w:tc>
          <w:tcPr>
            <w:tcW w:w="1247" w:type="dxa"/>
          </w:tcPr>
          <w:p w14:paraId="20B899B6" w14:textId="66D77986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ECFE667" w14:textId="6130DCC1" w:rsidR="004821BA" w:rsidRPr="004821BA" w:rsidRDefault="008D471E" w:rsidP="004821B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78C6CACE" w14:textId="1B487BE2" w:rsidR="004821BA" w:rsidRPr="004821BA" w:rsidRDefault="004821BA" w:rsidP="004821B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4821BA">
              <w:rPr>
                <w:rFonts w:ascii="Calibri" w:hAnsi="Calibri"/>
                <w:sz w:val="22"/>
                <w:szCs w:val="22"/>
              </w:rPr>
              <w:t>ooldab süsteeme vastavalt asjakohastele regulatsioonidele ja juhistele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D5F4A23" w14:textId="2DA03E86" w:rsidR="004821BA" w:rsidRPr="004821BA" w:rsidRDefault="004821BA" w:rsidP="004821B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821BA">
              <w:rPr>
                <w:rFonts w:ascii="Calibri" w:hAnsi="Calibri"/>
                <w:sz w:val="22"/>
                <w:szCs w:val="22"/>
              </w:rPr>
              <w:t>onfigureerib süsteeme vastavalt objekti eripärale, juhistele ja lähteülesandele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3CC1361" w14:textId="778B6229" w:rsidR="005160D1" w:rsidRPr="00423CA7" w:rsidRDefault="004821BA" w:rsidP="004821B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160D1" w:rsidRPr="00CF4019" w14:paraId="13571A03" w14:textId="77777777" w:rsidTr="00D53617">
        <w:tc>
          <w:tcPr>
            <w:tcW w:w="8109" w:type="dxa"/>
          </w:tcPr>
          <w:p w14:paraId="508A7CE9" w14:textId="2A44B4D7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821BA">
              <w:rPr>
                <w:rFonts w:ascii="Calibri" w:hAnsi="Calibri"/>
                <w:b/>
                <w:sz w:val="22"/>
                <w:szCs w:val="22"/>
              </w:rPr>
              <w:t>11 Jälgimissüsteemi paigaldamine ja hooldamine</w:t>
            </w:r>
          </w:p>
        </w:tc>
        <w:tc>
          <w:tcPr>
            <w:tcW w:w="1247" w:type="dxa"/>
          </w:tcPr>
          <w:p w14:paraId="6BE6E11E" w14:textId="75DF809D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423CA7" w14:paraId="1B2CC6A6" w14:textId="77777777" w:rsidTr="00B80953">
        <w:tc>
          <w:tcPr>
            <w:tcW w:w="9356" w:type="dxa"/>
            <w:gridSpan w:val="2"/>
          </w:tcPr>
          <w:p w14:paraId="40B5FC34" w14:textId="77777777" w:rsidR="004821BA" w:rsidRPr="004821BA" w:rsidRDefault="004821BA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21B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0993321" w14:textId="335EC410" w:rsidR="004821BA" w:rsidRPr="004821BA" w:rsidRDefault="008D471E" w:rsidP="004821B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304B4378" w14:textId="11FDBA22" w:rsidR="004821BA" w:rsidRPr="004821BA" w:rsidRDefault="004821BA" w:rsidP="004821B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52681B33" w14:textId="45FB43B7" w:rsidR="004821BA" w:rsidRPr="004821BA" w:rsidRDefault="004821BA" w:rsidP="004821B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3C1C0D08" w14:textId="2E5E22A9" w:rsidR="005160D1" w:rsidRPr="00423CA7" w:rsidRDefault="004821BA" w:rsidP="008D471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4821BA" w:rsidRPr="00423CA7" w14:paraId="6C724F78" w14:textId="77777777" w:rsidTr="00BD5628">
        <w:tc>
          <w:tcPr>
            <w:tcW w:w="8109" w:type="dxa"/>
          </w:tcPr>
          <w:p w14:paraId="423BCDAE" w14:textId="77777777" w:rsidR="004821BA" w:rsidRPr="004821BA" w:rsidRDefault="004821BA" w:rsidP="004821B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21BA">
              <w:rPr>
                <w:rFonts w:ascii="Calibri" w:hAnsi="Calibri"/>
                <w:b/>
                <w:bCs/>
                <w:sz w:val="22"/>
                <w:szCs w:val="22"/>
              </w:rPr>
              <w:t>B.3.12 Tulekahjusignalisatsioonisüsteemi paigaldamine ja hooldamine</w:t>
            </w:r>
          </w:p>
        </w:tc>
        <w:tc>
          <w:tcPr>
            <w:tcW w:w="1247" w:type="dxa"/>
          </w:tcPr>
          <w:p w14:paraId="5AA44EDD" w14:textId="6DF6A838" w:rsidR="004821BA" w:rsidRPr="004821BA" w:rsidRDefault="00BD5628" w:rsidP="004821B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4821BA" w:rsidRPr="00423CA7" w14:paraId="0A14F609" w14:textId="77777777" w:rsidTr="00B80953">
        <w:tc>
          <w:tcPr>
            <w:tcW w:w="9356" w:type="dxa"/>
            <w:gridSpan w:val="2"/>
          </w:tcPr>
          <w:p w14:paraId="0E62F6DF" w14:textId="77777777" w:rsidR="004821BA" w:rsidRPr="004821BA" w:rsidRDefault="004821BA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21B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5A5925F" w14:textId="39179702" w:rsidR="004821BA" w:rsidRPr="004821BA" w:rsidRDefault="008D471E" w:rsidP="004821B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4821BA" w:rsidRPr="004821BA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3BECF352" w14:textId="77777777" w:rsidR="004821BA" w:rsidRPr="004821BA" w:rsidRDefault="004821BA" w:rsidP="004821B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0C3F5C18" w14:textId="77777777" w:rsidR="004821BA" w:rsidRPr="004821BA" w:rsidRDefault="004821BA" w:rsidP="004821B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785FB0F7" w14:textId="6AFAB0D1" w:rsidR="004821BA" w:rsidRPr="004821BA" w:rsidRDefault="004821BA" w:rsidP="008D471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821BA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C36332" w:rsidRPr="00423CA7" w14:paraId="13B539F2" w14:textId="77777777" w:rsidTr="00C36332">
        <w:tc>
          <w:tcPr>
            <w:tcW w:w="8109" w:type="dxa"/>
          </w:tcPr>
          <w:p w14:paraId="4C1242DF" w14:textId="5B05660B" w:rsidR="00C36332" w:rsidRPr="004821BA" w:rsidRDefault="00225188" w:rsidP="0022518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25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B.3.13. Gaaskustutussüsteemi paigaldamine ja hooldamine</w:t>
            </w:r>
          </w:p>
        </w:tc>
        <w:tc>
          <w:tcPr>
            <w:tcW w:w="1247" w:type="dxa"/>
          </w:tcPr>
          <w:p w14:paraId="39F1FE4A" w14:textId="66713430" w:rsidR="00C36332" w:rsidRPr="004821BA" w:rsidRDefault="00C36332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36332" w:rsidRPr="00423CA7" w14:paraId="0F5DE26E" w14:textId="77777777" w:rsidTr="00B80953">
        <w:tc>
          <w:tcPr>
            <w:tcW w:w="9356" w:type="dxa"/>
            <w:gridSpan w:val="2"/>
          </w:tcPr>
          <w:p w14:paraId="7BB4AA90" w14:textId="77777777" w:rsidR="00225188" w:rsidRPr="008D471E" w:rsidRDefault="00225188" w:rsidP="0022518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D004248" w14:textId="4785A0C1" w:rsidR="00225188" w:rsidRPr="00225188" w:rsidRDefault="008D471E" w:rsidP="0022518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225188" w:rsidRPr="00225188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6DFBBA9E" w14:textId="732EA22A" w:rsidR="00225188" w:rsidRPr="00225188" w:rsidRDefault="00225188" w:rsidP="0022518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6D331FE7" w14:textId="19516AE1" w:rsidR="00225188" w:rsidRPr="00225188" w:rsidRDefault="00225188" w:rsidP="0022518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2A7CC352" w14:textId="01D568E1" w:rsidR="00C36332" w:rsidRPr="00225188" w:rsidRDefault="00225188" w:rsidP="0022518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C36332" w:rsidRPr="00423CA7" w14:paraId="7CD2CD46" w14:textId="77777777" w:rsidTr="00C36332">
        <w:tc>
          <w:tcPr>
            <w:tcW w:w="8109" w:type="dxa"/>
          </w:tcPr>
          <w:p w14:paraId="391C6D08" w14:textId="39AFF0AB" w:rsidR="00C36332" w:rsidRPr="004821BA" w:rsidRDefault="00BA2FEB" w:rsidP="008D471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A2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B.3.</w:t>
            </w:r>
            <w:r w:rsidR="00225188" w:rsidRPr="00BA2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 Vee- ja vahtkustutuse süsteemide paigaldamine ja hooldamine</w:t>
            </w:r>
          </w:p>
        </w:tc>
        <w:tc>
          <w:tcPr>
            <w:tcW w:w="1247" w:type="dxa"/>
          </w:tcPr>
          <w:p w14:paraId="5B94F6F4" w14:textId="3E85AC12" w:rsidR="00C36332" w:rsidRPr="004821BA" w:rsidRDefault="00C36332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36332" w:rsidRPr="00423CA7" w14:paraId="01B63D9B" w14:textId="77777777" w:rsidTr="00B80953">
        <w:tc>
          <w:tcPr>
            <w:tcW w:w="9356" w:type="dxa"/>
            <w:gridSpan w:val="2"/>
          </w:tcPr>
          <w:p w14:paraId="60976A9D" w14:textId="77777777" w:rsidR="00014EAB" w:rsidRPr="008D471E" w:rsidRDefault="00014EAB" w:rsidP="00014E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BE1E07A" w14:textId="191C760D" w:rsidR="00014EAB" w:rsidRPr="00014EAB" w:rsidRDefault="008D471E" w:rsidP="00014EAB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14EAB" w:rsidRPr="00014EAB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136D8130" w14:textId="77777777" w:rsidR="00014EAB" w:rsidRPr="00225188" w:rsidRDefault="00014EAB" w:rsidP="00014EAB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6B01D23F" w14:textId="77777777" w:rsidR="00014EAB" w:rsidRPr="00225188" w:rsidRDefault="00014EAB" w:rsidP="00014EAB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3E19E014" w14:textId="097BAEEB" w:rsidR="00C36332" w:rsidRPr="00014EAB" w:rsidRDefault="00014EAB" w:rsidP="00014EAB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C36332" w:rsidRPr="00423CA7" w14:paraId="7A470306" w14:textId="77777777" w:rsidTr="00C36332">
        <w:tc>
          <w:tcPr>
            <w:tcW w:w="8109" w:type="dxa"/>
          </w:tcPr>
          <w:p w14:paraId="7A78F095" w14:textId="1A4A912B" w:rsidR="00C36332" w:rsidRPr="004821BA" w:rsidRDefault="00BA2FEB" w:rsidP="008D471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B.3.</w:t>
            </w:r>
            <w:r w:rsidR="00225188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 Suitsutõrjesüsteemi paigaldamine ja hooldus</w:t>
            </w:r>
          </w:p>
        </w:tc>
        <w:tc>
          <w:tcPr>
            <w:tcW w:w="1247" w:type="dxa"/>
          </w:tcPr>
          <w:p w14:paraId="0A806247" w14:textId="5873AEAD" w:rsidR="00C36332" w:rsidRPr="004821BA" w:rsidRDefault="00C36332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36332" w:rsidRPr="00423CA7" w14:paraId="2A52F537" w14:textId="77777777" w:rsidTr="00B80953">
        <w:tc>
          <w:tcPr>
            <w:tcW w:w="9356" w:type="dxa"/>
            <w:gridSpan w:val="2"/>
          </w:tcPr>
          <w:p w14:paraId="7B376BFA" w14:textId="77777777" w:rsidR="00014EAB" w:rsidRPr="008D471E" w:rsidRDefault="00014EAB" w:rsidP="00014E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836470A" w14:textId="61E01A6B" w:rsidR="00014EAB" w:rsidRPr="00014EAB" w:rsidRDefault="008D471E" w:rsidP="00014EA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14EAB" w:rsidRPr="00014EAB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75500FCA" w14:textId="0FBB8B22" w:rsidR="00014EAB" w:rsidRPr="00014EAB" w:rsidRDefault="00014EAB" w:rsidP="00014EA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1B7AAB53" w14:textId="651993DA" w:rsidR="00014EAB" w:rsidRPr="00014EAB" w:rsidRDefault="00014EAB" w:rsidP="00014EA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114BF717" w14:textId="5A6A93B6" w:rsidR="00C36332" w:rsidRPr="00014EAB" w:rsidRDefault="00014EAB" w:rsidP="00014EA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C36332" w:rsidRPr="00423CA7" w14:paraId="539FD75F" w14:textId="77777777" w:rsidTr="00C36332">
        <w:tc>
          <w:tcPr>
            <w:tcW w:w="8109" w:type="dxa"/>
          </w:tcPr>
          <w:p w14:paraId="71637BF0" w14:textId="2B063284" w:rsidR="00C36332" w:rsidRPr="004821BA" w:rsidRDefault="00014EAB" w:rsidP="008D471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B.3.</w:t>
            </w:r>
            <w:r w:rsidR="00BA2FEB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 Ehitise teavitamis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BA2FEB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üsteemi paigaldamine ja hooldus</w:t>
            </w:r>
          </w:p>
        </w:tc>
        <w:tc>
          <w:tcPr>
            <w:tcW w:w="1247" w:type="dxa"/>
          </w:tcPr>
          <w:p w14:paraId="4B95F9E0" w14:textId="6A4EAB0A" w:rsidR="00C36332" w:rsidRPr="004821BA" w:rsidRDefault="00C36332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36332" w:rsidRPr="00423CA7" w14:paraId="0E7863F6" w14:textId="77777777" w:rsidTr="00B80953">
        <w:tc>
          <w:tcPr>
            <w:tcW w:w="9356" w:type="dxa"/>
            <w:gridSpan w:val="2"/>
          </w:tcPr>
          <w:p w14:paraId="4CD47144" w14:textId="77777777" w:rsidR="00014EAB" w:rsidRPr="008D471E" w:rsidRDefault="00014EAB" w:rsidP="00014E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D0A2675" w14:textId="756BE155" w:rsidR="00014EAB" w:rsidRPr="00014EAB" w:rsidRDefault="008D471E" w:rsidP="00014EA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14EAB" w:rsidRPr="00014EAB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5972076E" w14:textId="77777777" w:rsidR="00014EAB" w:rsidRPr="00225188" w:rsidRDefault="00014EAB" w:rsidP="00014EA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0693F842" w14:textId="77777777" w:rsidR="00014EAB" w:rsidRPr="00225188" w:rsidRDefault="00014EAB" w:rsidP="00014EA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lastRenderedPageBreak/>
              <w:t>konfigureerib süsteeme vastavalt objekti eripärale, juhistele ja lähteülesandele;</w:t>
            </w:r>
          </w:p>
          <w:p w14:paraId="36163EEA" w14:textId="7D4AD82B" w:rsidR="00C36332" w:rsidRPr="00014EAB" w:rsidRDefault="00014EAB" w:rsidP="00014EA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C36332" w:rsidRPr="00423CA7" w14:paraId="567D544C" w14:textId="77777777" w:rsidTr="00C36332">
        <w:tc>
          <w:tcPr>
            <w:tcW w:w="8109" w:type="dxa"/>
          </w:tcPr>
          <w:p w14:paraId="0E8C1339" w14:textId="27CCCC8B" w:rsidR="00C36332" w:rsidRPr="004821BA" w:rsidRDefault="00014EAB" w:rsidP="008D471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B.3.</w:t>
            </w:r>
            <w:r w:rsidR="00BA2FEB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 Hädavalgustuse paigaldamine ja hooldamine</w:t>
            </w:r>
          </w:p>
        </w:tc>
        <w:tc>
          <w:tcPr>
            <w:tcW w:w="1247" w:type="dxa"/>
          </w:tcPr>
          <w:p w14:paraId="30B62384" w14:textId="373A2A52" w:rsidR="00C36332" w:rsidRPr="004821BA" w:rsidRDefault="00C36332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36332" w:rsidRPr="00423CA7" w14:paraId="26C151D3" w14:textId="77777777" w:rsidTr="00B80953">
        <w:tc>
          <w:tcPr>
            <w:tcW w:w="9356" w:type="dxa"/>
            <w:gridSpan w:val="2"/>
          </w:tcPr>
          <w:p w14:paraId="44F833B8" w14:textId="77777777" w:rsidR="00014EAB" w:rsidRPr="008D471E" w:rsidRDefault="00014EAB" w:rsidP="00014E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0E4E0E1" w14:textId="780C6E9E" w:rsidR="00014EAB" w:rsidRPr="00014EAB" w:rsidRDefault="008D471E" w:rsidP="00014EAB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14EAB" w:rsidRPr="00014EAB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6793D2B4" w14:textId="77777777" w:rsidR="00014EAB" w:rsidRPr="00225188" w:rsidRDefault="00014EAB" w:rsidP="00014EAB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2D0741B9" w14:textId="77777777" w:rsidR="00014EAB" w:rsidRPr="00225188" w:rsidRDefault="00014EAB" w:rsidP="00014EAB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2117BD2E" w14:textId="42A0EC7C" w:rsidR="00C36332" w:rsidRPr="00014EAB" w:rsidRDefault="00014EAB" w:rsidP="00014EAB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C36332" w:rsidRPr="00423CA7" w14:paraId="699E8E8D" w14:textId="77777777" w:rsidTr="00C36332">
        <w:tc>
          <w:tcPr>
            <w:tcW w:w="8109" w:type="dxa"/>
          </w:tcPr>
          <w:p w14:paraId="7D636E66" w14:textId="76CFBB1F" w:rsidR="00C36332" w:rsidRPr="004821BA" w:rsidRDefault="00014EAB" w:rsidP="008D471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B.3.</w:t>
            </w:r>
            <w:r w:rsidR="00BA2FEB">
              <w:rPr>
                <w:rFonts w:ascii="Calibri" w:hAnsi="Calibri" w:cs="Calibri"/>
                <w:b/>
                <w:bCs/>
                <w:sz w:val="22"/>
                <w:szCs w:val="22"/>
              </w:rPr>
              <w:t>18. Tuleohutusautomaatika paigaldamine ja hooldamine</w:t>
            </w:r>
          </w:p>
        </w:tc>
        <w:tc>
          <w:tcPr>
            <w:tcW w:w="1247" w:type="dxa"/>
          </w:tcPr>
          <w:p w14:paraId="2490FF4A" w14:textId="50A7545C" w:rsidR="00C36332" w:rsidRPr="004821BA" w:rsidRDefault="00C36332" w:rsidP="004821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36332" w:rsidRPr="00423CA7" w14:paraId="717293AB" w14:textId="77777777" w:rsidTr="00B80953">
        <w:tc>
          <w:tcPr>
            <w:tcW w:w="9356" w:type="dxa"/>
            <w:gridSpan w:val="2"/>
          </w:tcPr>
          <w:p w14:paraId="2943430F" w14:textId="77777777" w:rsidR="00014EAB" w:rsidRPr="008D471E" w:rsidRDefault="00014EAB" w:rsidP="00014E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47063B4" w14:textId="6ABB35A7" w:rsidR="00014EAB" w:rsidRPr="00014EAB" w:rsidRDefault="008D471E" w:rsidP="00014EA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14EAB" w:rsidRPr="00014EAB">
              <w:rPr>
                <w:rFonts w:ascii="Calibri" w:hAnsi="Calibri"/>
                <w:sz w:val="22"/>
                <w:szCs w:val="22"/>
              </w:rPr>
              <w:t xml:space="preserve">aigaldab ja seadistab süsteeme vastavalt projektile ja õigusaktidele; </w:t>
            </w:r>
          </w:p>
          <w:p w14:paraId="36ADAE48" w14:textId="77777777" w:rsidR="00014EAB" w:rsidRPr="00225188" w:rsidRDefault="00014EAB" w:rsidP="00014EA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 xml:space="preserve">hooldab süsteeme vastavalt asjakohastele regulatsioonidele ja juhistele; </w:t>
            </w:r>
          </w:p>
          <w:p w14:paraId="4003DB58" w14:textId="77777777" w:rsidR="00014EAB" w:rsidRPr="00225188" w:rsidRDefault="00014EAB" w:rsidP="00014EA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225188">
              <w:rPr>
                <w:rFonts w:ascii="Calibri" w:hAnsi="Calibri"/>
                <w:sz w:val="22"/>
                <w:szCs w:val="22"/>
              </w:rPr>
              <w:t>konfigureerib süsteeme vastavalt objekti eripärale, juhistele ja lähteülesandele;</w:t>
            </w:r>
          </w:p>
          <w:p w14:paraId="02CF9ACE" w14:textId="2E213448" w:rsidR="00C36332" w:rsidRPr="00014EAB" w:rsidRDefault="00014EAB" w:rsidP="00014EAB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4EAB">
              <w:rPr>
                <w:rFonts w:ascii="Calibri" w:hAnsi="Calibri"/>
                <w:sz w:val="22"/>
                <w:szCs w:val="22"/>
              </w:rPr>
              <w:t>testib ja kontrollib süsteemide toimimist tervikuna; teostab vajalikud mõõtmised.</w:t>
            </w:r>
          </w:p>
        </w:tc>
      </w:tr>
      <w:tr w:rsidR="00005341" w:rsidRPr="00423CA7" w14:paraId="444907E1" w14:textId="77777777" w:rsidTr="00B80953">
        <w:tc>
          <w:tcPr>
            <w:tcW w:w="9356" w:type="dxa"/>
            <w:gridSpan w:val="2"/>
          </w:tcPr>
          <w:p w14:paraId="220566E4" w14:textId="0CF38F03" w:rsidR="00005341" w:rsidRPr="00005341" w:rsidRDefault="00005341" w:rsidP="00014EAB">
            <w:pPr>
              <w:rPr>
                <w:rFonts w:ascii="Calibri" w:hAnsi="Calibri"/>
                <w:sz w:val="22"/>
                <w:szCs w:val="22"/>
              </w:rPr>
            </w:pPr>
            <w:r w:rsidRPr="00005341">
              <w:rPr>
                <w:rFonts w:ascii="Calibri" w:hAnsi="Calibri"/>
                <w:color w:val="FF0000"/>
                <w:sz w:val="22"/>
                <w:szCs w:val="22"/>
              </w:rPr>
              <w:t>Ettepanekud valitavate kompetentside kohta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64"/>
        <w:gridCol w:w="4546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24E194B6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7D12D27F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56223DCF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7AAA08C9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681FF802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2D7A61A2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4B0055D3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6E94E8D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1F775B54" w:rsidR="001E29DD" w:rsidRPr="00331584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7C14CC0" w14:textId="056A8102" w:rsidR="001E29DD" w:rsidRPr="00331584" w:rsidRDefault="00BB1522" w:rsidP="00BB152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Energeetiks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  <w:gridSpan w:val="2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  <w:gridSpan w:val="2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6712304" w14:textId="67D6B155" w:rsidR="001E29DD" w:rsidRPr="00BB1522" w:rsidRDefault="00BB152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  <w:gridSpan w:val="2"/>
          </w:tcPr>
          <w:p w14:paraId="7DF4C167" w14:textId="1334B052" w:rsidR="001E29DD" w:rsidRPr="00EB3D19" w:rsidRDefault="00BB152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BB1522" w14:paraId="435B711C" w14:textId="77777777" w:rsidTr="00BB1522">
        <w:tc>
          <w:tcPr>
            <w:tcW w:w="4957" w:type="dxa"/>
            <w:gridSpan w:val="2"/>
          </w:tcPr>
          <w:p w14:paraId="7F2C42B6" w14:textId="29ECC7DC" w:rsidR="00BB1522" w:rsidRPr="00331584" w:rsidRDefault="00BB1522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4546" w:type="dxa"/>
          </w:tcPr>
          <w:p w14:paraId="3E2C44E2" w14:textId="7BBC1A82" w:rsidR="00BB1522" w:rsidRPr="00331584" w:rsidRDefault="00BB1522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Security and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Fire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Protection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Systems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Installer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,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level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63790304" w14:textId="6CAB68ED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2F3F6676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2D3D" w14:textId="77777777" w:rsidR="00C04D73" w:rsidRDefault="00C04D73" w:rsidP="009451C8">
      <w:r>
        <w:separator/>
      </w:r>
    </w:p>
  </w:endnote>
  <w:endnote w:type="continuationSeparator" w:id="0">
    <w:p w14:paraId="785457EC" w14:textId="77777777" w:rsidR="00C04D73" w:rsidRDefault="00C04D7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eeSans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21F48" w14:textId="77777777" w:rsidR="00C04D73" w:rsidRDefault="00C04D73" w:rsidP="009451C8">
      <w:r>
        <w:separator/>
      </w:r>
    </w:p>
  </w:footnote>
  <w:footnote w:type="continuationSeparator" w:id="0">
    <w:p w14:paraId="6F222A6D" w14:textId="77777777" w:rsidR="00C04D73" w:rsidRDefault="00C04D7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04"/>
    <w:multiLevelType w:val="hybridMultilevel"/>
    <w:tmpl w:val="D7486A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593"/>
    <w:multiLevelType w:val="hybridMultilevel"/>
    <w:tmpl w:val="B58063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46A"/>
    <w:multiLevelType w:val="hybridMultilevel"/>
    <w:tmpl w:val="0C766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5CD"/>
    <w:multiLevelType w:val="hybridMultilevel"/>
    <w:tmpl w:val="1B7014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6DB1"/>
    <w:multiLevelType w:val="hybridMultilevel"/>
    <w:tmpl w:val="662AE4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64CC"/>
    <w:multiLevelType w:val="hybridMultilevel"/>
    <w:tmpl w:val="9DD8F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63D9A"/>
    <w:multiLevelType w:val="hybridMultilevel"/>
    <w:tmpl w:val="9DD8F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80F40"/>
    <w:multiLevelType w:val="hybridMultilevel"/>
    <w:tmpl w:val="40D0E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72AAB"/>
    <w:multiLevelType w:val="hybridMultilevel"/>
    <w:tmpl w:val="5B2896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B502C"/>
    <w:multiLevelType w:val="hybridMultilevel"/>
    <w:tmpl w:val="9DD8F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84348"/>
    <w:multiLevelType w:val="hybridMultilevel"/>
    <w:tmpl w:val="08C6F3E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D573F0"/>
    <w:multiLevelType w:val="hybridMultilevel"/>
    <w:tmpl w:val="585AE0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822F0C"/>
    <w:multiLevelType w:val="hybridMultilevel"/>
    <w:tmpl w:val="E2486D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F3704"/>
    <w:multiLevelType w:val="hybridMultilevel"/>
    <w:tmpl w:val="241E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0B76"/>
    <w:multiLevelType w:val="hybridMultilevel"/>
    <w:tmpl w:val="F1FE2D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B678E"/>
    <w:multiLevelType w:val="hybridMultilevel"/>
    <w:tmpl w:val="35DC9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3499D"/>
    <w:multiLevelType w:val="hybridMultilevel"/>
    <w:tmpl w:val="11DA1A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D4743"/>
    <w:multiLevelType w:val="hybridMultilevel"/>
    <w:tmpl w:val="9DD8F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43852"/>
    <w:multiLevelType w:val="hybridMultilevel"/>
    <w:tmpl w:val="7EF29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62E44"/>
    <w:multiLevelType w:val="hybridMultilevel"/>
    <w:tmpl w:val="B58063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A0D96"/>
    <w:multiLevelType w:val="hybridMultilevel"/>
    <w:tmpl w:val="6E6A79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50033"/>
    <w:multiLevelType w:val="hybridMultilevel"/>
    <w:tmpl w:val="744267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77FF"/>
    <w:multiLevelType w:val="hybridMultilevel"/>
    <w:tmpl w:val="10CE23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6041A"/>
    <w:multiLevelType w:val="hybridMultilevel"/>
    <w:tmpl w:val="ED0450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07C8"/>
    <w:multiLevelType w:val="hybridMultilevel"/>
    <w:tmpl w:val="D9B6D2CC"/>
    <w:lvl w:ilvl="0" w:tplc="F9E452B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F4FFA"/>
    <w:multiLevelType w:val="hybridMultilevel"/>
    <w:tmpl w:val="21CE31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80808"/>
    <w:multiLevelType w:val="hybridMultilevel"/>
    <w:tmpl w:val="C3344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40"/>
  </w:num>
  <w:num w:numId="5">
    <w:abstractNumId w:val="25"/>
  </w:num>
  <w:num w:numId="6">
    <w:abstractNumId w:val="34"/>
  </w:num>
  <w:num w:numId="7">
    <w:abstractNumId w:val="30"/>
  </w:num>
  <w:num w:numId="8">
    <w:abstractNumId w:val="42"/>
  </w:num>
  <w:num w:numId="9">
    <w:abstractNumId w:val="23"/>
  </w:num>
  <w:num w:numId="10">
    <w:abstractNumId w:val="10"/>
  </w:num>
  <w:num w:numId="11">
    <w:abstractNumId w:val="4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2"/>
  </w:num>
  <w:num w:numId="16">
    <w:abstractNumId w:val="13"/>
  </w:num>
  <w:num w:numId="17">
    <w:abstractNumId w:val="24"/>
  </w:num>
  <w:num w:numId="18">
    <w:abstractNumId w:val="5"/>
  </w:num>
  <w:num w:numId="19">
    <w:abstractNumId w:val="15"/>
  </w:num>
  <w:num w:numId="20">
    <w:abstractNumId w:val="2"/>
  </w:num>
  <w:num w:numId="21">
    <w:abstractNumId w:val="0"/>
  </w:num>
  <w:num w:numId="22">
    <w:abstractNumId w:val="3"/>
  </w:num>
  <w:num w:numId="23">
    <w:abstractNumId w:val="28"/>
  </w:num>
  <w:num w:numId="24">
    <w:abstractNumId w:val="31"/>
  </w:num>
  <w:num w:numId="25">
    <w:abstractNumId w:val="44"/>
  </w:num>
  <w:num w:numId="26">
    <w:abstractNumId w:val="16"/>
  </w:num>
  <w:num w:numId="27">
    <w:abstractNumId w:val="20"/>
  </w:num>
  <w:num w:numId="28">
    <w:abstractNumId w:val="41"/>
  </w:num>
  <w:num w:numId="29">
    <w:abstractNumId w:val="21"/>
  </w:num>
  <w:num w:numId="30">
    <w:abstractNumId w:val="39"/>
  </w:num>
  <w:num w:numId="31">
    <w:abstractNumId w:val="32"/>
  </w:num>
  <w:num w:numId="32">
    <w:abstractNumId w:val="33"/>
  </w:num>
  <w:num w:numId="33">
    <w:abstractNumId w:val="1"/>
  </w:num>
  <w:num w:numId="34">
    <w:abstractNumId w:val="26"/>
  </w:num>
  <w:num w:numId="35">
    <w:abstractNumId w:val="27"/>
  </w:num>
  <w:num w:numId="36">
    <w:abstractNumId w:val="7"/>
  </w:num>
  <w:num w:numId="37">
    <w:abstractNumId w:val="36"/>
  </w:num>
  <w:num w:numId="38">
    <w:abstractNumId w:val="9"/>
  </w:num>
  <w:num w:numId="39">
    <w:abstractNumId w:val="29"/>
  </w:num>
  <w:num w:numId="40">
    <w:abstractNumId w:val="38"/>
  </w:num>
  <w:num w:numId="41">
    <w:abstractNumId w:val="14"/>
  </w:num>
  <w:num w:numId="42">
    <w:abstractNumId w:val="11"/>
  </w:num>
  <w:num w:numId="43">
    <w:abstractNumId w:val="6"/>
  </w:num>
  <w:num w:numId="44">
    <w:abstractNumId w:val="37"/>
  </w:num>
  <w:num w:numId="4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1"/>
    <w:rsid w:val="00007154"/>
    <w:rsid w:val="00007943"/>
    <w:rsid w:val="000115D4"/>
    <w:rsid w:val="0001292F"/>
    <w:rsid w:val="0001406E"/>
    <w:rsid w:val="00014D8A"/>
    <w:rsid w:val="00014EAB"/>
    <w:rsid w:val="00017268"/>
    <w:rsid w:val="00017CB7"/>
    <w:rsid w:val="00017CDC"/>
    <w:rsid w:val="000228B1"/>
    <w:rsid w:val="0002312C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0CE5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D69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3C2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188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45A8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237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17167"/>
    <w:rsid w:val="003200FF"/>
    <w:rsid w:val="00320849"/>
    <w:rsid w:val="0032175A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D4C"/>
    <w:rsid w:val="0039008D"/>
    <w:rsid w:val="0039030A"/>
    <w:rsid w:val="00392A07"/>
    <w:rsid w:val="003972FA"/>
    <w:rsid w:val="00397DA5"/>
    <w:rsid w:val="003A2B1F"/>
    <w:rsid w:val="003A2B5F"/>
    <w:rsid w:val="003A2BDD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559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21BA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13BA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633C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9F6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0FE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63EA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471E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3B3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9C3"/>
    <w:rsid w:val="00A51FB8"/>
    <w:rsid w:val="00A537A8"/>
    <w:rsid w:val="00A57200"/>
    <w:rsid w:val="00A61749"/>
    <w:rsid w:val="00A6336D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1F97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2FEB"/>
    <w:rsid w:val="00BA5336"/>
    <w:rsid w:val="00BA537F"/>
    <w:rsid w:val="00BA7489"/>
    <w:rsid w:val="00BB0137"/>
    <w:rsid w:val="00BB1522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3986"/>
    <w:rsid w:val="00BD46FD"/>
    <w:rsid w:val="00BD4FC1"/>
    <w:rsid w:val="00BD52AA"/>
    <w:rsid w:val="00BD5628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4D73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6332"/>
    <w:rsid w:val="00C37545"/>
    <w:rsid w:val="00C42762"/>
    <w:rsid w:val="00C4365E"/>
    <w:rsid w:val="00C46A1C"/>
    <w:rsid w:val="00C52641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5EC9"/>
    <w:rsid w:val="00D16E20"/>
    <w:rsid w:val="00D17F09"/>
    <w:rsid w:val="00D209AA"/>
    <w:rsid w:val="00D218AE"/>
    <w:rsid w:val="00D22A6E"/>
    <w:rsid w:val="00D23327"/>
    <w:rsid w:val="00D24292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0AB2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67B37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639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1BE2"/>
    <w:rsid w:val="00DE35FB"/>
    <w:rsid w:val="00DE6017"/>
    <w:rsid w:val="00DE6353"/>
    <w:rsid w:val="00DE7B44"/>
    <w:rsid w:val="00DF07DB"/>
    <w:rsid w:val="00DF0F98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061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49</TotalTime>
  <Pages>8</Pages>
  <Words>2013</Words>
  <Characters>11679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3</cp:revision>
  <cp:lastPrinted>2011-06-28T11:10:00Z</cp:lastPrinted>
  <dcterms:created xsi:type="dcterms:W3CDTF">2020-11-18T09:36:00Z</dcterms:created>
  <dcterms:modified xsi:type="dcterms:W3CDTF">2020-11-18T10:24:00Z</dcterms:modified>
</cp:coreProperties>
</file>