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55E0A00C" w:rsidR="00561F57" w:rsidRPr="003307F0" w:rsidRDefault="00826CC8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Tuleohutusspetsialist</w:t>
      </w:r>
      <w:r w:rsidR="003307F0">
        <w:rPr>
          <w:rFonts w:ascii="Calibri" w:hAnsi="Calibri"/>
          <w:b/>
          <w:color w:val="000000"/>
          <w:sz w:val="28"/>
          <w:szCs w:val="28"/>
        </w:rPr>
        <w:t>,</w:t>
      </w:r>
      <w:r w:rsidR="00C30358" w:rsidRPr="003307F0">
        <w:rPr>
          <w:rFonts w:ascii="Calibri" w:hAnsi="Calibri"/>
          <w:b/>
          <w:color w:val="000000"/>
          <w:sz w:val="28"/>
          <w:szCs w:val="28"/>
        </w:rPr>
        <w:t xml:space="preserve"> tase</w:t>
      </w:r>
      <w:r w:rsidR="003307F0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5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58E94285" w:rsidR="00576E64" w:rsidRPr="00FE70C3" w:rsidRDefault="00826CC8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Tuleohutusspetsialist</w:t>
            </w:r>
            <w:r w:rsidR="00576E64">
              <w:rPr>
                <w:rFonts w:ascii="Calibri" w:hAnsi="Calibri"/>
                <w:i/>
                <w:sz w:val="28"/>
                <w:szCs w:val="28"/>
              </w:rPr>
              <w:t xml:space="preserve">, tase </w:t>
            </w:r>
            <w:r>
              <w:rPr>
                <w:rFonts w:ascii="Calibri" w:hAnsi="Calibri"/>
                <w:i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1578532B" w14:textId="1AE877E6" w:rsidR="00576E64" w:rsidRPr="00FE70C3" w:rsidRDefault="00826CC8" w:rsidP="00576E64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5</w:t>
            </w:r>
          </w:p>
        </w:tc>
      </w:tr>
    </w:tbl>
    <w:p w14:paraId="551ECF52" w14:textId="77777777" w:rsidR="00AF7D6B" w:rsidRPr="00AF7D6B" w:rsidRDefault="00AF7D6B" w:rsidP="00AF7D6B">
      <w:pPr>
        <w:rPr>
          <w:vanish/>
        </w:rPr>
      </w:pPr>
    </w:p>
    <w:p w14:paraId="1A046923" w14:textId="77777777" w:rsidR="003307F0" w:rsidRDefault="003307F0" w:rsidP="003307F0"/>
    <w:p w14:paraId="6C735879" w14:textId="77777777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20ACBC68" w14:textId="56D09F84" w:rsidR="00826CC8" w:rsidRPr="00826CC8" w:rsidRDefault="00826CC8" w:rsidP="00826C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26CC8">
              <w:rPr>
                <w:rFonts w:ascii="Calibri" w:hAnsi="Calibri"/>
                <w:iCs/>
                <w:sz w:val="22"/>
                <w:szCs w:val="22"/>
              </w:rPr>
              <w:t xml:space="preserve">Tuleohutusspetsialisti töö sisu on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826CC8">
              <w:rPr>
                <w:rFonts w:ascii="Calibri" w:hAnsi="Calibri"/>
                <w:iCs/>
                <w:sz w:val="22"/>
                <w:szCs w:val="22"/>
              </w:rPr>
              <w:t xml:space="preserve">tuleohutusalase olukorra hindamine, ehitiste haldajate, omanike jt tuleohutusalane nõustamine ja juhendamine, sh tuleohutusülevaatuse tegemine ning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826CC8">
              <w:rPr>
                <w:rFonts w:ascii="Calibri" w:hAnsi="Calibri"/>
                <w:iCs/>
                <w:sz w:val="22"/>
                <w:szCs w:val="22"/>
              </w:rPr>
              <w:t>teavitustöö tulekahjude jm õnnetuste ennetamiseks ning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826CC8">
              <w:rPr>
                <w:rFonts w:ascii="Calibri" w:hAnsi="Calibri"/>
                <w:iCs/>
                <w:sz w:val="22"/>
                <w:szCs w:val="22"/>
              </w:rPr>
              <w:t>osalemine tuleohutuse tehniliste normide ja standardite väljatöötamisel.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826CC8">
              <w:rPr>
                <w:rFonts w:ascii="Calibri" w:hAnsi="Calibri"/>
                <w:iCs/>
                <w:sz w:val="22"/>
                <w:szCs w:val="22"/>
              </w:rPr>
              <w:t>Tuleohutusspetsialist võib läbi viia tuleohutusalaseid koolitusi.</w:t>
            </w:r>
          </w:p>
          <w:p w14:paraId="1E647FB0" w14:textId="77777777" w:rsidR="00826CC8" w:rsidRPr="00826CC8" w:rsidRDefault="00826CC8" w:rsidP="00826C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26CC8">
              <w:rPr>
                <w:rFonts w:ascii="Calibri" w:hAnsi="Calibri"/>
                <w:iCs/>
                <w:sz w:val="22"/>
                <w:szCs w:val="22"/>
              </w:rPr>
              <w:t>Tuleohutusspetsialist töötab nii iseseisvalt kui ka meeskonnas, tema töö eeldab suhtlemist kaastöötajate ja klientidega.</w:t>
            </w:r>
          </w:p>
          <w:p w14:paraId="1083433B" w14:textId="77777777" w:rsidR="00826CC8" w:rsidRPr="00826CC8" w:rsidRDefault="00826CC8" w:rsidP="00826C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26CC8">
              <w:rPr>
                <w:rFonts w:ascii="Calibri" w:hAnsi="Calibri"/>
                <w:iCs/>
                <w:sz w:val="22"/>
                <w:szCs w:val="22"/>
              </w:rPr>
              <w:t>Tuleohutusspetsialisti tööaeg on fikseerimata, lähtudes teenuse tellijast. Tuleohutusspetsialist töötab nii sise- kui välitingimustes, sh kõrgendatud riski/ohtlikkusega tingimustes.</w:t>
            </w:r>
          </w:p>
          <w:p w14:paraId="5C9441F2" w14:textId="16B6DC11" w:rsidR="003972FA" w:rsidRPr="0037756E" w:rsidRDefault="00826CC8" w:rsidP="00826CC8">
            <w:pPr>
              <w:rPr>
                <w:rFonts w:ascii="Calibri" w:hAnsi="Calibri"/>
                <w:i/>
                <w:sz w:val="22"/>
                <w:szCs w:val="22"/>
              </w:rPr>
            </w:pPr>
            <w:r w:rsidRPr="00826CC8">
              <w:rPr>
                <w:rFonts w:ascii="Calibri" w:hAnsi="Calibri"/>
                <w:iCs/>
                <w:sz w:val="22"/>
                <w:szCs w:val="22"/>
              </w:rPr>
              <w:t>Tuleohutusspetsialisti kutsealal on tuleohutusekspert, tase 6 kutse, kes täiendavalt tuleohutusspetsialisti tegevustele teeb tuleohutusekspertiise ning viib läbi tulekahjujärgset uurimist.</w:t>
            </w:r>
          </w:p>
        </w:tc>
      </w:tr>
      <w:tr w:rsidR="007F2D3B" w14:paraId="20AEC931" w14:textId="77777777" w:rsidTr="00E861FA">
        <w:tc>
          <w:tcPr>
            <w:tcW w:w="9356" w:type="dxa"/>
            <w:shd w:val="clear" w:color="auto" w:fill="auto"/>
          </w:tcPr>
          <w:p w14:paraId="27E668B1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 kirjelduse kohta</w:t>
            </w:r>
          </w:p>
          <w:p w14:paraId="79B7F13E" w14:textId="77777777" w:rsidR="007F2D3B" w:rsidRPr="0037756E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F2D3B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7F2D3B" w:rsidRPr="00AF7D6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7F2D3B" w14:paraId="2F5EA121" w14:textId="77777777" w:rsidTr="00520BDC">
        <w:tc>
          <w:tcPr>
            <w:tcW w:w="9356" w:type="dxa"/>
            <w:shd w:val="clear" w:color="auto" w:fill="auto"/>
          </w:tcPr>
          <w:p w14:paraId="63D069BE" w14:textId="14977401" w:rsidR="007F2D3B" w:rsidRDefault="007F2D3B" w:rsidP="007F2D3B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.1  </w:t>
            </w:r>
            <w:r w:rsidR="000C688B" w:rsidRPr="000C688B">
              <w:rPr>
                <w:rFonts w:ascii="Calibri" w:hAnsi="Calibri"/>
                <w:sz w:val="22"/>
                <w:szCs w:val="22"/>
              </w:rPr>
              <w:t>Tuleohu riskide hindamine</w:t>
            </w:r>
          </w:p>
          <w:p w14:paraId="61FA4BFA" w14:textId="61A78078" w:rsidR="007F2D3B" w:rsidRDefault="007F2D3B" w:rsidP="007F2D3B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.2  </w:t>
            </w:r>
            <w:r w:rsidR="00EA6C1A" w:rsidRPr="00EA6C1A">
              <w:rPr>
                <w:rFonts w:ascii="Calibri" w:hAnsi="Calibri"/>
                <w:sz w:val="22"/>
                <w:szCs w:val="22"/>
              </w:rPr>
              <w:t>Ehitusliku tuleohutuse hindamine</w:t>
            </w:r>
          </w:p>
          <w:p w14:paraId="0951CAE2" w14:textId="252C54DA" w:rsidR="000C688B" w:rsidRDefault="000C688B" w:rsidP="007F2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A.2.3  </w:t>
            </w:r>
            <w:r w:rsidR="00EA6C1A" w:rsidRPr="00EA6C1A">
              <w:rPr>
                <w:rFonts w:ascii="Calibri" w:hAnsi="Calibri"/>
                <w:sz w:val="22"/>
                <w:szCs w:val="22"/>
              </w:rPr>
              <w:t>Korraldusliku tuleohutuse hindamine</w:t>
            </w:r>
          </w:p>
          <w:p w14:paraId="4D757D8E" w14:textId="5D585D34" w:rsidR="000C688B" w:rsidRPr="00391E74" w:rsidRDefault="000C688B" w:rsidP="007F2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A.2.4  </w:t>
            </w:r>
            <w:r w:rsidRPr="000C688B">
              <w:rPr>
                <w:rFonts w:ascii="Calibri" w:hAnsi="Calibri"/>
                <w:sz w:val="22"/>
                <w:szCs w:val="22"/>
              </w:rPr>
              <w:t>Tuleohutusalane teavitus ja nõustamine</w:t>
            </w:r>
          </w:p>
        </w:tc>
      </w:tr>
      <w:tr w:rsidR="007F2D3B" w14:paraId="5D391F95" w14:textId="77777777" w:rsidTr="00400626">
        <w:tc>
          <w:tcPr>
            <w:tcW w:w="9356" w:type="dxa"/>
            <w:shd w:val="clear" w:color="auto" w:fill="auto"/>
          </w:tcPr>
          <w:p w14:paraId="6859EF2A" w14:textId="02582C57" w:rsidR="007F2D3B" w:rsidRPr="00AF7D6B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  <w:r w:rsidRPr="00391E74">
              <w:rPr>
                <w:rFonts w:ascii="Calibri" w:hAnsi="Calibri"/>
                <w:b/>
                <w:sz w:val="22"/>
                <w:szCs w:val="22"/>
              </w:rPr>
              <w:t>Valitavad tööosad</w:t>
            </w:r>
          </w:p>
        </w:tc>
      </w:tr>
      <w:tr w:rsidR="007F2D3B" w:rsidRPr="00D00D22" w14:paraId="1CD1B6F3" w14:textId="77777777" w:rsidTr="00520BDC">
        <w:tc>
          <w:tcPr>
            <w:tcW w:w="9356" w:type="dxa"/>
            <w:shd w:val="clear" w:color="auto" w:fill="auto"/>
          </w:tcPr>
          <w:p w14:paraId="3154C9E2" w14:textId="707F9D43" w:rsidR="000C688B" w:rsidRPr="007650EA" w:rsidRDefault="000C688B" w:rsidP="007F2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</w:t>
            </w:r>
            <w:r w:rsidR="00EA6C1A">
              <w:rPr>
                <w:rFonts w:ascii="Calibri" w:hAnsi="Calibri"/>
                <w:sz w:val="22"/>
                <w:szCs w:val="22"/>
              </w:rPr>
              <w:t>.5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0C688B">
              <w:rPr>
                <w:rFonts w:ascii="Calibri" w:hAnsi="Calibri"/>
                <w:sz w:val="22"/>
                <w:szCs w:val="22"/>
              </w:rPr>
              <w:t>Tuleohutusalaste koolituste ja õppuste ettevalmistamine ning läbiviimine</w:t>
            </w:r>
          </w:p>
        </w:tc>
      </w:tr>
      <w:tr w:rsidR="007F2D3B" w:rsidRPr="00D00D22" w14:paraId="590BF57D" w14:textId="77777777" w:rsidTr="00520BDC">
        <w:tc>
          <w:tcPr>
            <w:tcW w:w="9356" w:type="dxa"/>
            <w:shd w:val="clear" w:color="auto" w:fill="auto"/>
          </w:tcPr>
          <w:p w14:paraId="4D04F298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osade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549AFDEB" w14:textId="77777777" w:rsidR="007F2D3B" w:rsidRPr="00AF7D6B" w:rsidRDefault="007F2D3B" w:rsidP="007F2D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F2D3B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7F2D3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7F2D3B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56887037" w:rsidR="007F2D3B" w:rsidRPr="00EA6C1A" w:rsidRDefault="00EA6C1A" w:rsidP="007F2D3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A6C1A">
              <w:rPr>
                <w:rFonts w:ascii="Calibri" w:hAnsi="Calibri"/>
                <w:bCs/>
                <w:sz w:val="22"/>
                <w:szCs w:val="22"/>
              </w:rPr>
              <w:t>Tavaliselt on tuleohutusspetsialistil keskharidus, kutseoskused on omandatud erialasel koolitusel või töö käigus.</w:t>
            </w:r>
          </w:p>
        </w:tc>
      </w:tr>
      <w:tr w:rsidR="007F2D3B" w:rsidRPr="00D00D22" w14:paraId="0E9DB9B0" w14:textId="77777777" w:rsidTr="00A677EE">
        <w:tc>
          <w:tcPr>
            <w:tcW w:w="9356" w:type="dxa"/>
            <w:shd w:val="clear" w:color="auto" w:fill="auto"/>
          </w:tcPr>
          <w:p w14:paraId="0085FED0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Ettepanekud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kutsealase ettevalmistuse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6F5E4584" w14:textId="77777777" w:rsidR="007F2D3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2D3B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7F2D3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7F2D3B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437ACAE1" w:rsidR="007F2D3B" w:rsidRPr="00EA6C1A" w:rsidRDefault="00EA6C1A" w:rsidP="007F2D3B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A6C1A">
              <w:rPr>
                <w:rFonts w:ascii="Calibri" w:hAnsi="Calibri"/>
                <w:iCs/>
                <w:sz w:val="22"/>
                <w:szCs w:val="22"/>
              </w:rPr>
              <w:t>Tuleohutusspetsialist.</w:t>
            </w:r>
          </w:p>
        </w:tc>
      </w:tr>
      <w:tr w:rsidR="007F2D3B" w:rsidRPr="00D00D22" w14:paraId="51F48E1C" w14:textId="77777777" w:rsidTr="00520BDC">
        <w:tc>
          <w:tcPr>
            <w:tcW w:w="9356" w:type="dxa"/>
            <w:shd w:val="clear" w:color="auto" w:fill="auto"/>
          </w:tcPr>
          <w:p w14:paraId="2629F0F7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Ettepanekud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enamlevinud ametinimetuste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3A6BBB13" w14:textId="77777777" w:rsidR="007F2D3B" w:rsidRPr="00C62382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F2D3B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44750A24" w:rsidR="007F2D3B" w:rsidRPr="00AF7D6B" w:rsidRDefault="007F2D3B" w:rsidP="007F2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7F2D3B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4AB9D761" w:rsidR="007F2D3B" w:rsidRPr="00AF7D6B" w:rsidRDefault="00EA6C1A" w:rsidP="007F2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Tuleohutusspetsialistina töötamist reguleerib tuleohutuse seadus.</w:t>
            </w:r>
          </w:p>
        </w:tc>
      </w:tr>
      <w:tr w:rsidR="007F2D3B" w:rsidRPr="00D00D22" w14:paraId="65D0BF2F" w14:textId="77777777" w:rsidTr="00520BDC">
        <w:tc>
          <w:tcPr>
            <w:tcW w:w="9356" w:type="dxa"/>
            <w:shd w:val="clear" w:color="auto" w:fill="auto"/>
          </w:tcPr>
          <w:p w14:paraId="510271B3" w14:textId="77777777" w:rsidR="007F2D3B" w:rsidRPr="00AF7D6B" w:rsidRDefault="007F2D3B" w:rsidP="007F2D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F2D3B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270AFEB3" w:rsidR="007F2D3B" w:rsidRPr="00A677EE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7F2D3B" w:rsidRPr="00905FD7" w14:paraId="25D4CF5E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C32A" w14:textId="2665ACB3" w:rsidR="007F2D3B" w:rsidRPr="005B4C8E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F2D3B" w:rsidRPr="00905FD7" w14:paraId="689A8B55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444E" w14:textId="56F9814A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Ettepanekud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tulevikuoskuste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7818C06A" w14:textId="77777777" w:rsidR="007F2D3B" w:rsidRPr="005B4C8E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5C48AAA9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71D6ED97" w:rsidR="0036125E" w:rsidRPr="00EA6C1A" w:rsidRDefault="00826CC8" w:rsidP="007C2B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A6C1A">
              <w:rPr>
                <w:rFonts w:ascii="Calibri" w:hAnsi="Calibri"/>
                <w:iCs/>
                <w:sz w:val="22"/>
                <w:szCs w:val="22"/>
              </w:rPr>
              <w:t xml:space="preserve">Kutse taotlemisel tuleb tõendada üldoskused </w:t>
            </w:r>
            <w:r w:rsidR="00E97583">
              <w:rPr>
                <w:rFonts w:ascii="Calibri" w:hAnsi="Calibri"/>
                <w:iCs/>
                <w:sz w:val="22"/>
                <w:szCs w:val="22"/>
              </w:rPr>
              <w:t xml:space="preserve">B.2 </w:t>
            </w:r>
            <w:r w:rsidRPr="00EA6C1A">
              <w:rPr>
                <w:rFonts w:ascii="Calibri" w:hAnsi="Calibri"/>
                <w:iCs/>
                <w:sz w:val="22"/>
                <w:szCs w:val="22"/>
              </w:rPr>
              <w:t>ja kohustuslikud kompetentsid</w:t>
            </w:r>
            <w:r w:rsidR="00EA6C1A" w:rsidRPr="00EA6C1A">
              <w:rPr>
                <w:rFonts w:ascii="Calibri" w:hAnsi="Calibri"/>
                <w:iCs/>
                <w:sz w:val="22"/>
                <w:szCs w:val="22"/>
              </w:rPr>
              <w:t xml:space="preserve"> B.3.1-B.3.4</w:t>
            </w:r>
            <w:r w:rsidRPr="00EA6C1A">
              <w:rPr>
                <w:rFonts w:ascii="Calibri" w:hAnsi="Calibri"/>
                <w:iCs/>
                <w:sz w:val="22"/>
                <w:szCs w:val="22"/>
              </w:rPr>
              <w:t xml:space="preserve">. Lisaks on võimalik tõendada valitavat kompetentsi </w:t>
            </w:r>
            <w:r w:rsidR="00EA6C1A" w:rsidRPr="00EA6C1A">
              <w:rPr>
                <w:rFonts w:ascii="Calibri" w:hAnsi="Calibri"/>
                <w:iCs/>
                <w:sz w:val="22"/>
                <w:szCs w:val="22"/>
              </w:rPr>
              <w:t>B.3.5.</w:t>
            </w:r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00596283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26CC8">
              <w:rPr>
                <w:rFonts w:ascii="Calibri" w:hAnsi="Calibri"/>
                <w:b/>
                <w:sz w:val="22"/>
                <w:szCs w:val="22"/>
              </w:rPr>
              <w:t>Tuleohutusspetsialisti</w:t>
            </w:r>
            <w:r w:rsidR="00B940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üldoskused 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3977A2CC" w14:textId="3DAD47D2" w:rsidR="000C688B" w:rsidRDefault="000C688B" w:rsidP="000C688B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3BA929B7" w14:textId="71035B47" w:rsidR="000C688B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kasutab oma töös eesti keelt tasemel B2 (vt lisa 1);</w:t>
            </w:r>
          </w:p>
          <w:p w14:paraId="3955E495" w14:textId="06B88CEF" w:rsidR="00C50804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kasutab oma töös digiseadmeid vastavalt DigComp enesehindamise skaala</w:t>
            </w:r>
            <w:r>
              <w:rPr>
                <w:rFonts w:ascii="Calibri" w:hAnsi="Calibri"/>
                <w:sz w:val="22"/>
                <w:szCs w:val="22"/>
              </w:rPr>
              <w:t xml:space="preserve"> (vt lisa 2)</w:t>
            </w:r>
            <w:r w:rsidRPr="00C50804">
              <w:rPr>
                <w:rFonts w:ascii="Calibri" w:hAnsi="Calibri"/>
                <w:sz w:val="22"/>
                <w:szCs w:val="22"/>
              </w:rPr>
              <w:t xml:space="preserve"> iseseisva kasutaja tasemele, sisuloome ja probleemilahenduse osaoskustes vastavalt algtasemel kasutaja tasemele;</w:t>
            </w:r>
          </w:p>
          <w:p w14:paraId="6E392715" w14:textId="0B8750F4" w:rsidR="00C50804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käitub korrektselt; esitab oma seisukohti veenvalt ja mõjusalt, tuleb toime konfliktidega;</w:t>
            </w:r>
          </w:p>
          <w:p w14:paraId="61394CB3" w14:textId="54F1CF78" w:rsidR="00C50804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valib asjakohase käitumis- ja väljendusviisi;</w:t>
            </w:r>
          </w:p>
          <w:p w14:paraId="5BB11C10" w14:textId="2C3D44FF" w:rsidR="00C50804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järgib oma töös konfidentsiaalsusnõudeid ja on usaldusväärne;</w:t>
            </w:r>
          </w:p>
          <w:p w14:paraId="458CC154" w14:textId="312A76CE" w:rsidR="00C50804" w:rsidRPr="00C50804" w:rsidRDefault="00C50804" w:rsidP="000C688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järgib oma tööd reguleerivaid nõudeid;</w:t>
            </w:r>
          </w:p>
          <w:p w14:paraId="28B32FE8" w14:textId="13681B0C" w:rsidR="00557050" w:rsidRPr="00C50804" w:rsidRDefault="00C50804" w:rsidP="002D21A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C50804">
              <w:rPr>
                <w:rFonts w:ascii="Calibri" w:hAnsi="Calibri"/>
                <w:sz w:val="22"/>
                <w:szCs w:val="22"/>
              </w:rPr>
              <w:t>dokumenteerib oma tegevuse vastavalt nõuetele ja kokkulepetele.</w:t>
            </w:r>
          </w:p>
        </w:tc>
      </w:tr>
      <w:tr w:rsidR="007F2D3B" w:rsidRPr="00D6436B" w14:paraId="4B2B1508" w14:textId="77777777" w:rsidTr="002D21A5">
        <w:tc>
          <w:tcPr>
            <w:tcW w:w="9214" w:type="dxa"/>
            <w:shd w:val="clear" w:color="auto" w:fill="auto"/>
          </w:tcPr>
          <w:p w14:paraId="451E66B4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Ettepanekud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üldoskuste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1E30A4B2" w14:textId="77777777" w:rsidR="007F2D3B" w:rsidRPr="00D6436B" w:rsidRDefault="007F2D3B" w:rsidP="007F2D3B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DBF95C2" w14:textId="77777777" w:rsidR="00D6436B" w:rsidRDefault="00D6436B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00D53617">
        <w:tc>
          <w:tcPr>
            <w:tcW w:w="8109" w:type="dxa"/>
          </w:tcPr>
          <w:p w14:paraId="172DCC1B" w14:textId="5A22F4BA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0804" w:rsidRPr="00C50804">
              <w:rPr>
                <w:rFonts w:ascii="Calibri" w:hAnsi="Calibri"/>
                <w:b/>
                <w:sz w:val="22"/>
                <w:szCs w:val="22"/>
              </w:rPr>
              <w:t>Tuleohu riskide hindamine</w:t>
            </w:r>
          </w:p>
        </w:tc>
        <w:tc>
          <w:tcPr>
            <w:tcW w:w="1213" w:type="dxa"/>
          </w:tcPr>
          <w:p w14:paraId="52FBD7D6" w14:textId="22CC1E2C" w:rsidR="00610B6B" w:rsidRPr="00CF4019" w:rsidRDefault="00610B6B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826CC8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1C84623F" w:rsidR="00610B6B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37CD8DE4" w14:textId="04FA0CAD" w:rsidR="00610B6B" w:rsidRPr="00826CC8" w:rsidRDefault="00826CC8" w:rsidP="00826CC8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26CC8">
              <w:rPr>
                <w:rFonts w:ascii="Calibri" w:hAnsi="Calibri"/>
                <w:sz w:val="22"/>
                <w:szCs w:val="22"/>
              </w:rPr>
              <w:t>hindab ehitise ja territooriumi tuleohu riske, arvestades õigusakte ja ehituslikku eripära.</w:t>
            </w:r>
          </w:p>
        </w:tc>
      </w:tr>
      <w:tr w:rsidR="007F2D3B" w:rsidRPr="00CF4019" w14:paraId="33CFF215" w14:textId="77777777" w:rsidTr="00610B6B">
        <w:tc>
          <w:tcPr>
            <w:tcW w:w="9322" w:type="dxa"/>
            <w:gridSpan w:val="2"/>
          </w:tcPr>
          <w:p w14:paraId="649A6EB0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2FE65ECF" w14:textId="77777777" w:rsidR="007F2D3B" w:rsidRPr="00F8155A" w:rsidRDefault="007F2D3B" w:rsidP="007F2D3B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7F2D3B" w14:paraId="6FB00173" w14:textId="77777777" w:rsidTr="00032EE9">
        <w:tc>
          <w:tcPr>
            <w:tcW w:w="8109" w:type="dxa"/>
          </w:tcPr>
          <w:p w14:paraId="39F39EEF" w14:textId="19836C8C" w:rsidR="007F2D3B" w:rsidRPr="00610B6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26CC8" w:rsidRPr="00826CC8">
              <w:rPr>
                <w:rFonts w:ascii="Calibri" w:hAnsi="Calibri"/>
                <w:b/>
                <w:sz w:val="22"/>
                <w:szCs w:val="22"/>
              </w:rPr>
              <w:t>Ehitusliku tuleohutuse hindamine</w:t>
            </w:r>
          </w:p>
        </w:tc>
        <w:tc>
          <w:tcPr>
            <w:tcW w:w="1213" w:type="dxa"/>
          </w:tcPr>
          <w:p w14:paraId="5224FAA2" w14:textId="136B6015" w:rsidR="007F2D3B" w:rsidRPr="00610B6B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826CC8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7F2D3B" w14:paraId="68BF4153" w14:textId="77777777" w:rsidTr="00610B6B">
        <w:tc>
          <w:tcPr>
            <w:tcW w:w="9322" w:type="dxa"/>
            <w:gridSpan w:val="2"/>
          </w:tcPr>
          <w:p w14:paraId="4E34887F" w14:textId="61E7F905" w:rsidR="007F2D3B" w:rsidRDefault="007F2D3B" w:rsidP="007F2D3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B491D92" w14:textId="075BE9F7" w:rsidR="00826CC8" w:rsidRPr="00826CC8" w:rsidRDefault="00826CC8" w:rsidP="00826CC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26CC8">
              <w:rPr>
                <w:rFonts w:ascii="Calibri" w:hAnsi="Calibri"/>
                <w:sz w:val="22"/>
                <w:szCs w:val="22"/>
              </w:rPr>
              <w:t>hindab vaatluse ja dokumentide hindamise teel territooriumi, ehitise ja ehitise osa (sh ehitusmaterjalide, tehnosüsteemide ja sisustuse) vastavust olulistele tuleohutusnõuetele ja ehitusprojektis esitatud tuleohutusnõuetele;</w:t>
            </w:r>
          </w:p>
          <w:p w14:paraId="6C2B4B0C" w14:textId="7B59AB5B" w:rsidR="00826CC8" w:rsidRPr="00826CC8" w:rsidRDefault="00826CC8" w:rsidP="00826CC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26CC8">
              <w:rPr>
                <w:rFonts w:ascii="Calibri" w:hAnsi="Calibri"/>
                <w:sz w:val="22"/>
                <w:szCs w:val="22"/>
              </w:rPr>
              <w:t>hindab vaatluse ja dokumentide hindamise teel tuleohutuspaigaldiste vastavust olulistele tuleohutusnõuetele ja ehitusprojektis esitatud tuleohutusnõuetele;</w:t>
            </w:r>
          </w:p>
          <w:p w14:paraId="3A0FB4B3" w14:textId="671B3703" w:rsidR="00826CC8" w:rsidRPr="00826CC8" w:rsidRDefault="00826CC8" w:rsidP="00826CC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26CC8">
              <w:rPr>
                <w:rFonts w:ascii="Calibri" w:hAnsi="Calibri"/>
                <w:sz w:val="22"/>
                <w:szCs w:val="22"/>
              </w:rPr>
              <w:t>koostab hinnangu kokkulepitud vormis;</w:t>
            </w:r>
          </w:p>
          <w:p w14:paraId="18C56BA4" w14:textId="4F18DFDB" w:rsidR="007F2D3B" w:rsidRPr="00826CC8" w:rsidRDefault="00826CC8" w:rsidP="00826CC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826CC8">
              <w:rPr>
                <w:rFonts w:ascii="Calibri" w:hAnsi="Calibri"/>
                <w:sz w:val="22"/>
                <w:szCs w:val="22"/>
              </w:rPr>
              <w:t>konsulteerib klienti tuleohutusalastes küsimustes; informeerib klienti tuleohutuseksperdi vm spetsialisti kaasamise vajadusest, ehituslike tuleohutusnõuete täpsemaks hindamiseks ja detailsemate lahenduste leidmiseks.</w:t>
            </w:r>
          </w:p>
        </w:tc>
      </w:tr>
      <w:tr w:rsidR="007F2D3B" w14:paraId="39FFE17F" w14:textId="77777777" w:rsidTr="00610B6B">
        <w:tc>
          <w:tcPr>
            <w:tcW w:w="9322" w:type="dxa"/>
            <w:gridSpan w:val="2"/>
          </w:tcPr>
          <w:p w14:paraId="175D3659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10C03D64" w14:textId="77777777" w:rsidR="007F2D3B" w:rsidRPr="00610B6B" w:rsidRDefault="007F2D3B" w:rsidP="007F2D3B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0A6706" w:rsidRPr="00610B6B" w14:paraId="013B85B9" w14:textId="77777777" w:rsidTr="00035611">
        <w:tc>
          <w:tcPr>
            <w:tcW w:w="8109" w:type="dxa"/>
          </w:tcPr>
          <w:p w14:paraId="779F3628" w14:textId="39485CB2" w:rsidR="000A6706" w:rsidRPr="00610B6B" w:rsidRDefault="000A6706" w:rsidP="0003561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248DF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26CC8" w:rsidRPr="00826CC8">
              <w:rPr>
                <w:rFonts w:ascii="Calibri" w:hAnsi="Calibri"/>
                <w:b/>
                <w:sz w:val="22"/>
                <w:szCs w:val="22"/>
              </w:rPr>
              <w:t>Korraldusliku tuleohutuse hindamine</w:t>
            </w:r>
          </w:p>
        </w:tc>
        <w:tc>
          <w:tcPr>
            <w:tcW w:w="1213" w:type="dxa"/>
          </w:tcPr>
          <w:p w14:paraId="31ED8CB3" w14:textId="2FCC2784" w:rsidR="000A6706" w:rsidRPr="00610B6B" w:rsidRDefault="000A6706" w:rsidP="0003561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276899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0A6706" w:rsidRPr="00610B6B" w14:paraId="74622E75" w14:textId="77777777" w:rsidTr="00035611">
        <w:tc>
          <w:tcPr>
            <w:tcW w:w="9322" w:type="dxa"/>
            <w:gridSpan w:val="2"/>
          </w:tcPr>
          <w:p w14:paraId="6385C3C0" w14:textId="5D444093" w:rsidR="000A6706" w:rsidRDefault="000A6706" w:rsidP="00035611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E6E2810" w14:textId="1850ECED" w:rsidR="00826CC8" w:rsidRPr="00276899" w:rsidRDefault="00276899" w:rsidP="00826CC8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276899">
              <w:rPr>
                <w:rFonts w:ascii="Calibri" w:hAnsi="Calibri"/>
                <w:sz w:val="22"/>
                <w:szCs w:val="22"/>
              </w:rPr>
              <w:lastRenderedPageBreak/>
              <w:t>hindab dokumentatsiooni ja paikvaatluse põhjal territooriumi/ehitise/ruumi ja tuleohutuspaigaldise kasutamise vastavust (ka kontroll ja hooldus) korralduslikele tuleohutusnõuetele, järgides õigusaktides ja tehnilistes normides kehtestatud nõudeid;</w:t>
            </w:r>
          </w:p>
          <w:p w14:paraId="739DF25F" w14:textId="1C8024E1" w:rsidR="00276899" w:rsidRPr="00276899" w:rsidRDefault="00276899" w:rsidP="00826CC8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276899">
              <w:rPr>
                <w:rFonts w:ascii="Calibri" w:hAnsi="Calibri"/>
                <w:sz w:val="22"/>
                <w:szCs w:val="22"/>
              </w:rPr>
              <w:t>hindab dokumentatsiooni ja paikvaatluse põhjal ehitise, asutuse või ettevõtte tuleohutuskorralduse vastavust õigusaktides ja tehnilistes normides kehtestatud nõuetele, arvestades hinnatava objekti eripära;</w:t>
            </w:r>
          </w:p>
          <w:p w14:paraId="7B1384D5" w14:textId="7D33CE29" w:rsidR="00276899" w:rsidRPr="00276899" w:rsidRDefault="00276899" w:rsidP="00826CC8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276899">
              <w:rPr>
                <w:rFonts w:ascii="Calibri" w:hAnsi="Calibri"/>
                <w:sz w:val="22"/>
                <w:szCs w:val="22"/>
              </w:rPr>
              <w:t>koostab hinnangu kokkulepitud vormis;</w:t>
            </w:r>
          </w:p>
          <w:p w14:paraId="262F01BB" w14:textId="1BB391ED" w:rsidR="000A6706" w:rsidRPr="00276899" w:rsidRDefault="00276899" w:rsidP="00276899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276899">
              <w:rPr>
                <w:rFonts w:ascii="Calibri" w:hAnsi="Calibri"/>
                <w:sz w:val="22"/>
                <w:szCs w:val="22"/>
              </w:rPr>
              <w:t>koostab või uuendab asutuse või ettevõtte tuleohutuskorralduse dokumentatsiooni, lähtudes õigusaktidest ja tehnilistest normidest.</w:t>
            </w:r>
          </w:p>
        </w:tc>
      </w:tr>
      <w:tr w:rsidR="000A6706" w:rsidRPr="00610B6B" w14:paraId="44D824AF" w14:textId="77777777" w:rsidTr="00035611">
        <w:tc>
          <w:tcPr>
            <w:tcW w:w="9322" w:type="dxa"/>
            <w:gridSpan w:val="2"/>
          </w:tcPr>
          <w:p w14:paraId="759D424D" w14:textId="77777777" w:rsidR="000A6706" w:rsidRPr="00815F5B" w:rsidRDefault="000A6706" w:rsidP="00035611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lastRenderedPageBreak/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2D05714B" w14:textId="77777777" w:rsidR="000A6706" w:rsidRPr="00610B6B" w:rsidRDefault="000A6706" w:rsidP="00035611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0A6706" w:rsidRPr="00610B6B" w14:paraId="3D7B2FC7" w14:textId="77777777" w:rsidTr="00035611">
        <w:tc>
          <w:tcPr>
            <w:tcW w:w="8109" w:type="dxa"/>
          </w:tcPr>
          <w:p w14:paraId="32D78697" w14:textId="5DBD8BD2" w:rsidR="000A6706" w:rsidRPr="00610B6B" w:rsidRDefault="000A6706" w:rsidP="0003561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248DF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A6706">
              <w:rPr>
                <w:rFonts w:ascii="Calibri" w:hAnsi="Calibri"/>
                <w:b/>
                <w:sz w:val="22"/>
                <w:szCs w:val="22"/>
              </w:rPr>
              <w:t>Tuleohutusalane teavitus ja nõustamine</w:t>
            </w:r>
          </w:p>
        </w:tc>
        <w:tc>
          <w:tcPr>
            <w:tcW w:w="1213" w:type="dxa"/>
          </w:tcPr>
          <w:p w14:paraId="1153233A" w14:textId="43839AB7" w:rsidR="000A6706" w:rsidRPr="00610B6B" w:rsidRDefault="000A6706" w:rsidP="0003561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EKR tase 5 </w:t>
            </w:r>
          </w:p>
        </w:tc>
      </w:tr>
      <w:tr w:rsidR="000A6706" w:rsidRPr="00610B6B" w14:paraId="62DC027D" w14:textId="77777777" w:rsidTr="00035611">
        <w:tc>
          <w:tcPr>
            <w:tcW w:w="9322" w:type="dxa"/>
            <w:gridSpan w:val="2"/>
          </w:tcPr>
          <w:p w14:paraId="39E4B89D" w14:textId="77777777" w:rsidR="000A6706" w:rsidRPr="00610B6B" w:rsidRDefault="000A6706" w:rsidP="00035611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68B3847" w14:textId="125DA79A" w:rsidR="000A6706" w:rsidRPr="000A6706" w:rsidRDefault="000A6706" w:rsidP="000A670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0A6706">
              <w:rPr>
                <w:rFonts w:ascii="Calibri" w:hAnsi="Calibri"/>
                <w:sz w:val="22"/>
                <w:szCs w:val="22"/>
              </w:rPr>
              <w:t>selgitab sihtgrupile arusaadavalt olulist ja aktuaalset tuleohutusalast teavet eesmärgiga tõsta teadlikkust tuleohutusnõuete olemasolust ja tõhustada nendest kinnipidamist;</w:t>
            </w:r>
          </w:p>
          <w:p w14:paraId="5191D66D" w14:textId="7CB8F360" w:rsidR="000A6706" w:rsidRPr="000A6706" w:rsidRDefault="000A6706" w:rsidP="000A670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0A6706">
              <w:rPr>
                <w:rFonts w:ascii="Calibri" w:hAnsi="Calibri"/>
                <w:sz w:val="22"/>
                <w:szCs w:val="22"/>
              </w:rPr>
              <w:t>annab individuaalset tuleohutusalast nõu, lähtudes isiku vajadustest või objekti eripäradest.</w:t>
            </w:r>
          </w:p>
        </w:tc>
      </w:tr>
      <w:tr w:rsidR="000A6706" w:rsidRPr="00610B6B" w14:paraId="280C67C4" w14:textId="77777777" w:rsidTr="00035611">
        <w:tc>
          <w:tcPr>
            <w:tcW w:w="9322" w:type="dxa"/>
            <w:gridSpan w:val="2"/>
          </w:tcPr>
          <w:p w14:paraId="2D586F05" w14:textId="77777777" w:rsidR="000A6706" w:rsidRPr="00815F5B" w:rsidRDefault="000A6706" w:rsidP="00035611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34A7E517" w14:textId="77777777" w:rsidR="000A6706" w:rsidRPr="00610B6B" w:rsidRDefault="000A6706" w:rsidP="00035611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14:paraId="0C3A09B0" w14:textId="77777777" w:rsidR="0055734D" w:rsidRDefault="0055734D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17E092D4" w14:textId="77777777" w:rsidR="0055734D" w:rsidRDefault="0055734D"/>
    <w:p w14:paraId="1D6D9C0B" w14:textId="4A846764" w:rsidR="00994308" w:rsidRPr="00CF4019" w:rsidRDefault="00994308" w:rsidP="00400626">
      <w:pPr>
        <w:ind w:left="142"/>
        <w:jc w:val="both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70C0"/>
        </w:rPr>
        <w:t>VALITAVAD KOMPETENTSID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7F2D3B" w:rsidRPr="00CF4019" w14:paraId="13571A03" w14:textId="77777777" w:rsidTr="00D53617">
        <w:tc>
          <w:tcPr>
            <w:tcW w:w="8109" w:type="dxa"/>
          </w:tcPr>
          <w:p w14:paraId="508A7CE9" w14:textId="508BA556" w:rsidR="007F2D3B" w:rsidRPr="00CF4019" w:rsidRDefault="007F2D3B" w:rsidP="007F2D3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B.3.</w:t>
            </w:r>
            <w:r w:rsidR="00C248DF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C688B" w:rsidRPr="000C688B">
              <w:rPr>
                <w:rFonts w:ascii="Calibri" w:hAnsi="Calibri"/>
                <w:b/>
                <w:sz w:val="22"/>
                <w:szCs w:val="22"/>
              </w:rPr>
              <w:t>Tuleohutusalaste koolituste ja õppuste ettevalmistamine ning läbiviimine</w:t>
            </w:r>
          </w:p>
        </w:tc>
        <w:tc>
          <w:tcPr>
            <w:tcW w:w="1247" w:type="dxa"/>
          </w:tcPr>
          <w:p w14:paraId="6BE6E11E" w14:textId="68594895" w:rsidR="007F2D3B" w:rsidRPr="00CF4019" w:rsidRDefault="007F2D3B" w:rsidP="007F2D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0C688B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7F2D3B" w:rsidRPr="00423CA7" w14:paraId="1B2CC6A6" w14:textId="77777777" w:rsidTr="00B80953">
        <w:tc>
          <w:tcPr>
            <w:tcW w:w="9356" w:type="dxa"/>
            <w:gridSpan w:val="2"/>
          </w:tcPr>
          <w:p w14:paraId="0F8D9DF7" w14:textId="547F480F" w:rsidR="007F2D3B" w:rsidRDefault="007F2D3B" w:rsidP="007F2D3B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31FC5465" w14:textId="61F161B8" w:rsidR="000C688B" w:rsidRPr="000C688B" w:rsidRDefault="000C688B" w:rsidP="000C688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0C688B">
              <w:rPr>
                <w:rFonts w:ascii="Calibri" w:hAnsi="Calibri"/>
                <w:sz w:val="22"/>
                <w:szCs w:val="22"/>
              </w:rPr>
              <w:t>selgitab välja sihtgrupi koolitusvajaduse vastavalt tellija soovile, arvestades valdkonna õiguslikke norme ja regulatsioone; teeb tellijale ettepaneku tuleohutuskoolituste suhtes; koostab koolituskava vastavalt regulatsioonidele ja oodatavatele õpitulemustele; hindab lisaressursside kaasamise vajadust;</w:t>
            </w:r>
          </w:p>
          <w:p w14:paraId="043EC855" w14:textId="1BDB4889" w:rsidR="000C688B" w:rsidRPr="000C688B" w:rsidRDefault="000C688B" w:rsidP="000C688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0C688B">
              <w:rPr>
                <w:rFonts w:ascii="Calibri" w:hAnsi="Calibri"/>
                <w:sz w:val="22"/>
                <w:szCs w:val="22"/>
              </w:rPr>
              <w:t>valmistab ette konkreetse koolituse sisu, lähtudes koolituskavas fikseeritud õpitulemustest; koostab uusi ja/või kohandab vanu õppematerjale, lähtudes oma teema käsitlemise loogikast ja arvestades õpikeskkonna võimalusi; kasutab kohaseid allikaid ning standardaluseid; viib läbi koolitust, kindlustades oma teema edastamise ettenähtud aja piires; kaasab lisaressursse;</w:t>
            </w:r>
          </w:p>
          <w:p w14:paraId="467A69EA" w14:textId="25788DF9" w:rsidR="000C688B" w:rsidRPr="000C688B" w:rsidRDefault="000C688B" w:rsidP="000C688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0C688B">
              <w:rPr>
                <w:rFonts w:ascii="Calibri" w:hAnsi="Calibri"/>
                <w:sz w:val="22"/>
                <w:szCs w:val="22"/>
              </w:rPr>
              <w:t>hindab koolitust, lähtudes kavandatud eesmärkidest; hindab koolitustulemusi, võrreldes neid koolituskavast tulenevate oodatavate tulemustega; annab tellijale tagasisidet läbitud koolituse tulemuslikkusest ja edasisest koolitusvajadusest;</w:t>
            </w:r>
          </w:p>
          <w:p w14:paraId="3C1C0D08" w14:textId="3DB252D2" w:rsidR="007F2D3B" w:rsidRPr="000C688B" w:rsidRDefault="000C688B" w:rsidP="000C688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0C688B">
              <w:rPr>
                <w:rFonts w:ascii="Calibri" w:hAnsi="Calibri"/>
                <w:sz w:val="22"/>
                <w:szCs w:val="22"/>
              </w:rPr>
              <w:t>dokumenteerib koolitustegevuse vastavalt õigusaktidele ja tellija soovile.</w:t>
            </w:r>
          </w:p>
        </w:tc>
      </w:tr>
      <w:tr w:rsidR="007F2D3B" w:rsidRPr="00423CA7" w14:paraId="7A120EBC" w14:textId="77777777" w:rsidTr="00B80953">
        <w:tc>
          <w:tcPr>
            <w:tcW w:w="9356" w:type="dxa"/>
            <w:gridSpan w:val="2"/>
          </w:tcPr>
          <w:p w14:paraId="346BBA7D" w14:textId="77777777" w:rsidR="007F2D3B" w:rsidRPr="00815F5B" w:rsidRDefault="007F2D3B" w:rsidP="007F2D3B">
            <w:pPr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 töö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osa</w:t>
            </w:r>
            <w:r w:rsidRPr="00815F5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kohta</w:t>
            </w:r>
          </w:p>
          <w:p w14:paraId="26648A15" w14:textId="77777777" w:rsidR="007F2D3B" w:rsidRPr="00F8155A" w:rsidRDefault="007F2D3B" w:rsidP="007F2D3B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14:paraId="1FCD8082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p w14:paraId="29C7C987" w14:textId="77777777" w:rsidR="0055734D" w:rsidRDefault="00E27826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  <w:r w:rsidR="00F602FB">
        <w:rPr>
          <w:rFonts w:ascii="Calibri" w:hAnsi="Calibri"/>
          <w:b/>
          <w:color w:val="FF0000"/>
          <w:sz w:val="28"/>
          <w:szCs w:val="28"/>
        </w:rPr>
        <w:lastRenderedPageBreak/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77777777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520BDC">
        <w:tc>
          <w:tcPr>
            <w:tcW w:w="4893" w:type="dxa"/>
          </w:tcPr>
          <w:p w14:paraId="6914699F" w14:textId="77777777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  <w:r w:rsidR="008231CE" w:rsidRPr="00896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0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4F24DC0B" w14:textId="5797BF39" w:rsidR="001E29DD" w:rsidRPr="00626B01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618A34EB" w14:textId="77777777" w:rsidTr="00520BDC">
        <w:tc>
          <w:tcPr>
            <w:tcW w:w="4893" w:type="dxa"/>
          </w:tcPr>
          <w:p w14:paraId="12C7B804" w14:textId="21D59626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4E227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10254B7" w14:textId="77777777" w:rsidR="00C248DF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>Marek Hindreus, MTÜ Eesti Tuleohutusspetsialistid</w:t>
            </w:r>
          </w:p>
          <w:p w14:paraId="11EF9972" w14:textId="77777777" w:rsid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>Georg Kalde, Päästeamet</w:t>
            </w: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2AB4DF" w14:textId="63140423" w:rsidR="00C248DF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Ain Karafin, Eesti Turvaettevõtete Liit </w:t>
            </w:r>
          </w:p>
          <w:p w14:paraId="5178A634" w14:textId="77777777" w:rsidR="00C248DF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Mari Tikan, Siseministeerium </w:t>
            </w:r>
          </w:p>
          <w:p w14:paraId="4563D6E7" w14:textId="77777777" w:rsidR="00C248DF" w:rsidRPr="00C248DF" w:rsidRDefault="00C248DF" w:rsidP="00C248DF">
            <w:pP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>Margus Oberschneider, Eesti Tuleohutuspaigaldiste Hooldajate Keskliit</w:t>
            </w:r>
          </w:p>
          <w:p w14:paraId="36C1B1EC" w14:textId="77777777" w:rsidR="00C248DF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Mart Olesk, Eesti Tuleohutusekspertide Liit </w:t>
            </w:r>
          </w:p>
          <w:p w14:paraId="6B2E7DD2" w14:textId="77777777" w:rsidR="00C248DF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Rain Tõnson, Eesti Kindlustusseltside Liit </w:t>
            </w:r>
          </w:p>
          <w:p w14:paraId="12EB2229" w14:textId="719DDA72" w:rsidR="001E29DD" w:rsidRPr="00C248DF" w:rsidRDefault="00C248DF" w:rsidP="00C24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8DF">
              <w:rPr>
                <w:rFonts w:asciiTheme="minorHAnsi" w:hAnsiTheme="minorHAnsi" w:cstheme="minorHAnsi"/>
                <w:sz w:val="22"/>
                <w:szCs w:val="22"/>
              </w:rPr>
              <w:t xml:space="preserve">Alar Valge, Sisekaitseakadeemia </w:t>
            </w:r>
          </w:p>
        </w:tc>
      </w:tr>
      <w:tr w:rsidR="001E29DD" w14:paraId="1DAA165A" w14:textId="77777777" w:rsidTr="00520BDC">
        <w:tc>
          <w:tcPr>
            <w:tcW w:w="4893" w:type="dxa"/>
          </w:tcPr>
          <w:p w14:paraId="0E1CF3CA" w14:textId="0326B763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7C14CC0" w14:textId="733AE833" w:rsidR="001E29DD" w:rsidRPr="00331584" w:rsidRDefault="00C248DF" w:rsidP="00C24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Vara- ja Isikukaitse Kutsenõukogu</w:t>
            </w:r>
          </w:p>
        </w:tc>
      </w:tr>
      <w:tr w:rsidR="00D33A88" w14:paraId="335BA8C7" w14:textId="77777777" w:rsidTr="00520BDC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33A88" w14:paraId="38077D3A" w14:textId="77777777" w:rsidTr="00520BDC">
        <w:tc>
          <w:tcPr>
            <w:tcW w:w="4893" w:type="dxa"/>
          </w:tcPr>
          <w:p w14:paraId="5E669795" w14:textId="333B4083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20D21F4C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7FA41D20" w14:textId="77777777" w:rsidTr="00520BDC">
        <w:tc>
          <w:tcPr>
            <w:tcW w:w="4893" w:type="dxa"/>
          </w:tcPr>
          <w:p w14:paraId="125BF303" w14:textId="423981F4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1D0">
              <w:rPr>
                <w:rFonts w:ascii="Calibri" w:hAnsi="Calibri"/>
                <w:sz w:val="22"/>
                <w:szCs w:val="22"/>
              </w:rPr>
              <w:t>alates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6C8684DE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E780698" w14:textId="77777777" w:rsidTr="000E05DD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D5916A9" w14:textId="77777777" w:rsidTr="00520BDC">
        <w:tc>
          <w:tcPr>
            <w:tcW w:w="4893" w:type="dxa"/>
          </w:tcPr>
          <w:p w14:paraId="3DA1E23D" w14:textId="65F9FBB0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3CFF07C9" w:rsidR="001E29DD" w:rsidRPr="004E5056" w:rsidRDefault="00503AA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 w:rsidRPr="00503AAD">
              <w:rPr>
                <w:rFonts w:ascii="Calibri" w:hAnsi="Calibri"/>
                <w:sz w:val="22"/>
                <w:szCs w:val="22"/>
              </w:rPr>
              <w:t>3112 Ehitustehnikud</w:t>
            </w:r>
          </w:p>
        </w:tc>
      </w:tr>
      <w:tr w:rsidR="001E29DD" w14:paraId="31AC91F1" w14:textId="77777777" w:rsidTr="00520BDC">
        <w:tc>
          <w:tcPr>
            <w:tcW w:w="4893" w:type="dxa"/>
          </w:tcPr>
          <w:p w14:paraId="1DC732CE" w14:textId="77777777" w:rsidR="001E29DD" w:rsidRPr="00503AAD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503AAD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50EAF964" w:rsidR="001E29DD" w:rsidRPr="00503AAD" w:rsidRDefault="00503AAD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03AAD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1E29DD" w14:paraId="435B711C" w14:textId="77777777" w:rsidTr="00520BDC">
        <w:tc>
          <w:tcPr>
            <w:tcW w:w="9503" w:type="dxa"/>
            <w:gridSpan w:val="2"/>
          </w:tcPr>
          <w:p w14:paraId="3E2C44E2" w14:textId="58DE5148" w:rsidR="001E29DD" w:rsidRPr="00331584" w:rsidRDefault="001E29DD" w:rsidP="00520BDC">
            <w:pPr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Inglise keeles </w:t>
            </w:r>
            <w:r w:rsidR="00C248DF" w:rsidRPr="00C248DF">
              <w:rPr>
                <w:rFonts w:ascii="Calibri" w:hAnsi="Calibri"/>
                <w:sz w:val="22"/>
                <w:szCs w:val="22"/>
              </w:rPr>
              <w:t>Fire safety specialist, Level 5</w:t>
            </w:r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63790304" w14:textId="14568EC1" w:rsidR="00AA03E3" w:rsidRDefault="00063CA9" w:rsidP="00520BDC">
            <w:pPr>
              <w:rPr>
                <w:rFonts w:ascii="Calibri" w:hAnsi="Calibri"/>
                <w:sz w:val="22"/>
                <w:szCs w:val="22"/>
              </w:rPr>
            </w:pPr>
            <w:r w:rsidRPr="00063CA9">
              <w:rPr>
                <w:rFonts w:ascii="Calibri" w:hAnsi="Calibri"/>
                <w:sz w:val="22"/>
                <w:szCs w:val="22"/>
              </w:rPr>
              <w:t>Lisa 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hyperlink r:id="rId8" w:history="1">
              <w:r w:rsidR="00EA03FC" w:rsidRPr="00EA03FC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Keele osaoskuste tasemekirjeldused</w:t>
              </w:r>
            </w:hyperlink>
          </w:p>
          <w:p w14:paraId="3475AEC9" w14:textId="79520C6D" w:rsidR="004A79CF" w:rsidRPr="00DD5358" w:rsidRDefault="004A79CF" w:rsidP="004A7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Lisa 2</w:t>
            </w:r>
            <w:r w:rsidR="00C8707B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9" w:history="1">
              <w:r w:rsidR="00D22963" w:rsidRPr="0091718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DigComp</w:t>
              </w:r>
            </w:hyperlink>
            <w:r w:rsidR="00D22963" w:rsidRPr="0091718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enesehindamise skaala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AA7756">
      <w:footerReference w:type="default" r:id="rId10"/>
      <w:headerReference w:type="first" r:id="rId11"/>
      <w:footerReference w:type="first" r:id="rId12"/>
      <w:pgSz w:w="12240" w:h="15840"/>
      <w:pgMar w:top="1663" w:right="1440" w:bottom="1440" w:left="1440" w:header="14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D412" w14:textId="77777777" w:rsidR="00136780" w:rsidRDefault="00136780" w:rsidP="009451C8">
      <w:r>
        <w:separator/>
      </w:r>
    </w:p>
  </w:endnote>
  <w:endnote w:type="continuationSeparator" w:id="0">
    <w:p w14:paraId="7BBD1AD0" w14:textId="77777777" w:rsidR="00136780" w:rsidRDefault="00136780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FD03" w14:textId="77777777" w:rsidR="00136780" w:rsidRDefault="00136780" w:rsidP="009451C8">
      <w:r>
        <w:separator/>
      </w:r>
    </w:p>
  </w:footnote>
  <w:footnote w:type="continuationSeparator" w:id="0">
    <w:p w14:paraId="3A906D6A" w14:textId="77777777" w:rsidR="00136780" w:rsidRDefault="00136780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0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07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0599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5D91"/>
    <w:multiLevelType w:val="hybridMultilevel"/>
    <w:tmpl w:val="0192B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1C08"/>
    <w:multiLevelType w:val="hybridMultilevel"/>
    <w:tmpl w:val="C2E68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E55E6"/>
    <w:multiLevelType w:val="hybridMultilevel"/>
    <w:tmpl w:val="FF202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7877"/>
    <w:multiLevelType w:val="hybridMultilevel"/>
    <w:tmpl w:val="300CB80C"/>
    <w:lvl w:ilvl="0" w:tplc="FE407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6986E24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57A88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3299D"/>
    <w:multiLevelType w:val="hybridMultilevel"/>
    <w:tmpl w:val="22EAE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D6EDD"/>
    <w:multiLevelType w:val="hybridMultilevel"/>
    <w:tmpl w:val="17D2405C"/>
    <w:lvl w:ilvl="0" w:tplc="915C1E3A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277553">
    <w:abstractNumId w:val="6"/>
  </w:num>
  <w:num w:numId="2" w16cid:durableId="2141726881">
    <w:abstractNumId w:val="8"/>
  </w:num>
  <w:num w:numId="3" w16cid:durableId="746197082">
    <w:abstractNumId w:val="7"/>
  </w:num>
  <w:num w:numId="4" w16cid:durableId="1913465758">
    <w:abstractNumId w:val="17"/>
  </w:num>
  <w:num w:numId="5" w16cid:durableId="1147357573">
    <w:abstractNumId w:val="13"/>
  </w:num>
  <w:num w:numId="6" w16cid:durableId="1132791149">
    <w:abstractNumId w:val="15"/>
  </w:num>
  <w:num w:numId="7" w16cid:durableId="1117992414">
    <w:abstractNumId w:val="14"/>
  </w:num>
  <w:num w:numId="8" w16cid:durableId="682703448">
    <w:abstractNumId w:val="18"/>
  </w:num>
  <w:num w:numId="9" w16cid:durableId="339544686">
    <w:abstractNumId w:val="10"/>
  </w:num>
  <w:num w:numId="10" w16cid:durableId="1761179902">
    <w:abstractNumId w:val="3"/>
  </w:num>
  <w:num w:numId="11" w16cid:durableId="1131823682">
    <w:abstractNumId w:val="1"/>
  </w:num>
  <w:num w:numId="12" w16cid:durableId="11682092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64509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382533">
    <w:abstractNumId w:val="4"/>
  </w:num>
  <w:num w:numId="15" w16cid:durableId="1434594651">
    <w:abstractNumId w:val="9"/>
  </w:num>
  <w:num w:numId="16" w16cid:durableId="2065446914">
    <w:abstractNumId w:val="5"/>
  </w:num>
  <w:num w:numId="17" w16cid:durableId="2104447053">
    <w:abstractNumId w:val="12"/>
  </w:num>
  <w:num w:numId="18" w16cid:durableId="409272622">
    <w:abstractNumId w:val="11"/>
  </w:num>
  <w:num w:numId="19" w16cid:durableId="2129347262">
    <w:abstractNumId w:val="2"/>
  </w:num>
  <w:num w:numId="20" w16cid:durableId="85978333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228B1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A6706"/>
    <w:rsid w:val="000B01D9"/>
    <w:rsid w:val="000B1092"/>
    <w:rsid w:val="000B4C58"/>
    <w:rsid w:val="000B4FF8"/>
    <w:rsid w:val="000B61DB"/>
    <w:rsid w:val="000B660C"/>
    <w:rsid w:val="000C1705"/>
    <w:rsid w:val="000C3D93"/>
    <w:rsid w:val="000C63DA"/>
    <w:rsid w:val="000C688B"/>
    <w:rsid w:val="000D29D8"/>
    <w:rsid w:val="000D3030"/>
    <w:rsid w:val="000D5DFE"/>
    <w:rsid w:val="000E05DD"/>
    <w:rsid w:val="000E0E60"/>
    <w:rsid w:val="000E14EE"/>
    <w:rsid w:val="000E3CE1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15F0"/>
    <w:rsid w:val="00122BAE"/>
    <w:rsid w:val="00123FA7"/>
    <w:rsid w:val="001247E4"/>
    <w:rsid w:val="001301F6"/>
    <w:rsid w:val="00131891"/>
    <w:rsid w:val="00132AED"/>
    <w:rsid w:val="0013353B"/>
    <w:rsid w:val="0013642A"/>
    <w:rsid w:val="00136780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4631"/>
    <w:rsid w:val="001565A0"/>
    <w:rsid w:val="001569DC"/>
    <w:rsid w:val="00157828"/>
    <w:rsid w:val="00160463"/>
    <w:rsid w:val="00161693"/>
    <w:rsid w:val="0016484A"/>
    <w:rsid w:val="00165D5D"/>
    <w:rsid w:val="00166888"/>
    <w:rsid w:val="001706C8"/>
    <w:rsid w:val="00170BED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55A"/>
    <w:rsid w:val="00222730"/>
    <w:rsid w:val="002240BF"/>
    <w:rsid w:val="002254FA"/>
    <w:rsid w:val="0022788B"/>
    <w:rsid w:val="00227C07"/>
    <w:rsid w:val="0023187C"/>
    <w:rsid w:val="002319E5"/>
    <w:rsid w:val="00232061"/>
    <w:rsid w:val="002322A6"/>
    <w:rsid w:val="00240E80"/>
    <w:rsid w:val="00242FCD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1729"/>
    <w:rsid w:val="00272FD6"/>
    <w:rsid w:val="00274548"/>
    <w:rsid w:val="00276899"/>
    <w:rsid w:val="00276940"/>
    <w:rsid w:val="002769AE"/>
    <w:rsid w:val="00281521"/>
    <w:rsid w:val="00282E59"/>
    <w:rsid w:val="00284120"/>
    <w:rsid w:val="00284D63"/>
    <w:rsid w:val="00286888"/>
    <w:rsid w:val="002941D9"/>
    <w:rsid w:val="00294235"/>
    <w:rsid w:val="0029538D"/>
    <w:rsid w:val="002969CD"/>
    <w:rsid w:val="00297F0E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7D70"/>
    <w:rsid w:val="002C0D00"/>
    <w:rsid w:val="002C11C2"/>
    <w:rsid w:val="002C2CAB"/>
    <w:rsid w:val="002C32F0"/>
    <w:rsid w:val="002C3DC5"/>
    <w:rsid w:val="002C50FD"/>
    <w:rsid w:val="002C5F13"/>
    <w:rsid w:val="002C7716"/>
    <w:rsid w:val="002C7BA0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2552"/>
    <w:rsid w:val="00302B7F"/>
    <w:rsid w:val="00304F05"/>
    <w:rsid w:val="0030740D"/>
    <w:rsid w:val="00307D62"/>
    <w:rsid w:val="0031061B"/>
    <w:rsid w:val="00310FBC"/>
    <w:rsid w:val="0031664E"/>
    <w:rsid w:val="003200FF"/>
    <w:rsid w:val="00320849"/>
    <w:rsid w:val="00321997"/>
    <w:rsid w:val="00322318"/>
    <w:rsid w:val="0032363A"/>
    <w:rsid w:val="00325D19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50E58"/>
    <w:rsid w:val="00351877"/>
    <w:rsid w:val="00354BE2"/>
    <w:rsid w:val="00357703"/>
    <w:rsid w:val="0036125E"/>
    <w:rsid w:val="003621D5"/>
    <w:rsid w:val="003625C3"/>
    <w:rsid w:val="00362961"/>
    <w:rsid w:val="00362EC9"/>
    <w:rsid w:val="00363C64"/>
    <w:rsid w:val="00365DBE"/>
    <w:rsid w:val="0037016F"/>
    <w:rsid w:val="00370F58"/>
    <w:rsid w:val="0037233C"/>
    <w:rsid w:val="00374EE0"/>
    <w:rsid w:val="00375645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41C9"/>
    <w:rsid w:val="003B7CCD"/>
    <w:rsid w:val="003C043E"/>
    <w:rsid w:val="003C0D8C"/>
    <w:rsid w:val="003C1B69"/>
    <w:rsid w:val="003C31F6"/>
    <w:rsid w:val="003C3E3F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7E94"/>
    <w:rsid w:val="003E036B"/>
    <w:rsid w:val="003E175C"/>
    <w:rsid w:val="003E1DFE"/>
    <w:rsid w:val="003E33B7"/>
    <w:rsid w:val="003E4A4E"/>
    <w:rsid w:val="003E549C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E4F"/>
    <w:rsid w:val="00411E02"/>
    <w:rsid w:val="00412A1E"/>
    <w:rsid w:val="00413ADE"/>
    <w:rsid w:val="0041417F"/>
    <w:rsid w:val="00415AE8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321F"/>
    <w:rsid w:val="00445B83"/>
    <w:rsid w:val="0044638A"/>
    <w:rsid w:val="00446D70"/>
    <w:rsid w:val="00452B49"/>
    <w:rsid w:val="00454C58"/>
    <w:rsid w:val="00454F56"/>
    <w:rsid w:val="0045603B"/>
    <w:rsid w:val="004566D5"/>
    <w:rsid w:val="004579B8"/>
    <w:rsid w:val="00460E1A"/>
    <w:rsid w:val="0046199B"/>
    <w:rsid w:val="0046273D"/>
    <w:rsid w:val="00462C26"/>
    <w:rsid w:val="0046359D"/>
    <w:rsid w:val="0046458E"/>
    <w:rsid w:val="00470230"/>
    <w:rsid w:val="004715F2"/>
    <w:rsid w:val="00475E2F"/>
    <w:rsid w:val="004761A2"/>
    <w:rsid w:val="00477003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EE8"/>
    <w:rsid w:val="004A0BBB"/>
    <w:rsid w:val="004A1AB2"/>
    <w:rsid w:val="004A3760"/>
    <w:rsid w:val="004A6324"/>
    <w:rsid w:val="004A6D43"/>
    <w:rsid w:val="004A79CF"/>
    <w:rsid w:val="004B0546"/>
    <w:rsid w:val="004B253C"/>
    <w:rsid w:val="004B522F"/>
    <w:rsid w:val="004C12CD"/>
    <w:rsid w:val="004C599C"/>
    <w:rsid w:val="004C63EF"/>
    <w:rsid w:val="004C6E77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F1CD4"/>
    <w:rsid w:val="004F1DAC"/>
    <w:rsid w:val="004F2A11"/>
    <w:rsid w:val="004F3384"/>
    <w:rsid w:val="004F5049"/>
    <w:rsid w:val="004F7114"/>
    <w:rsid w:val="004F78C2"/>
    <w:rsid w:val="00503020"/>
    <w:rsid w:val="00503AAD"/>
    <w:rsid w:val="0050437F"/>
    <w:rsid w:val="00504755"/>
    <w:rsid w:val="00505A44"/>
    <w:rsid w:val="0050618A"/>
    <w:rsid w:val="00507000"/>
    <w:rsid w:val="0051081A"/>
    <w:rsid w:val="00510ACE"/>
    <w:rsid w:val="005136CD"/>
    <w:rsid w:val="0051421B"/>
    <w:rsid w:val="005160D1"/>
    <w:rsid w:val="0051610F"/>
    <w:rsid w:val="00517FC2"/>
    <w:rsid w:val="00520BDC"/>
    <w:rsid w:val="00520FAD"/>
    <w:rsid w:val="005213BE"/>
    <w:rsid w:val="00524033"/>
    <w:rsid w:val="00526F2B"/>
    <w:rsid w:val="005273CA"/>
    <w:rsid w:val="00530B16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E61"/>
    <w:rsid w:val="00561F57"/>
    <w:rsid w:val="0056271F"/>
    <w:rsid w:val="00563B2B"/>
    <w:rsid w:val="0056442B"/>
    <w:rsid w:val="00566861"/>
    <w:rsid w:val="00570015"/>
    <w:rsid w:val="00570D9D"/>
    <w:rsid w:val="0057401F"/>
    <w:rsid w:val="00576E64"/>
    <w:rsid w:val="00577839"/>
    <w:rsid w:val="00580914"/>
    <w:rsid w:val="0058181A"/>
    <w:rsid w:val="005957CC"/>
    <w:rsid w:val="005A09BF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3CD9"/>
    <w:rsid w:val="005C4C89"/>
    <w:rsid w:val="005D2E5D"/>
    <w:rsid w:val="005D3F90"/>
    <w:rsid w:val="005D46AB"/>
    <w:rsid w:val="005D567D"/>
    <w:rsid w:val="005D58E5"/>
    <w:rsid w:val="005D640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6008EC"/>
    <w:rsid w:val="00601596"/>
    <w:rsid w:val="006026B5"/>
    <w:rsid w:val="00602D52"/>
    <w:rsid w:val="00605514"/>
    <w:rsid w:val="0060687E"/>
    <w:rsid w:val="00606B9A"/>
    <w:rsid w:val="006073CE"/>
    <w:rsid w:val="00610B6B"/>
    <w:rsid w:val="00611064"/>
    <w:rsid w:val="0061308A"/>
    <w:rsid w:val="00616DB4"/>
    <w:rsid w:val="00617CA8"/>
    <w:rsid w:val="00620727"/>
    <w:rsid w:val="00623811"/>
    <w:rsid w:val="00626B01"/>
    <w:rsid w:val="00626EA0"/>
    <w:rsid w:val="0063137C"/>
    <w:rsid w:val="00636254"/>
    <w:rsid w:val="006405D5"/>
    <w:rsid w:val="0064087B"/>
    <w:rsid w:val="00641160"/>
    <w:rsid w:val="00641A7B"/>
    <w:rsid w:val="00642114"/>
    <w:rsid w:val="00643CA7"/>
    <w:rsid w:val="00644C10"/>
    <w:rsid w:val="0064679D"/>
    <w:rsid w:val="006467F5"/>
    <w:rsid w:val="0065242C"/>
    <w:rsid w:val="0065265C"/>
    <w:rsid w:val="00655B7B"/>
    <w:rsid w:val="00657B9D"/>
    <w:rsid w:val="0066135A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7D4"/>
    <w:rsid w:val="006867BC"/>
    <w:rsid w:val="00686944"/>
    <w:rsid w:val="00687100"/>
    <w:rsid w:val="0069005E"/>
    <w:rsid w:val="006903F1"/>
    <w:rsid w:val="00696F10"/>
    <w:rsid w:val="00697DE5"/>
    <w:rsid w:val="006A08BF"/>
    <w:rsid w:val="006A0C8A"/>
    <w:rsid w:val="006A267F"/>
    <w:rsid w:val="006A436C"/>
    <w:rsid w:val="006A4B47"/>
    <w:rsid w:val="006A4DE4"/>
    <w:rsid w:val="006B11B6"/>
    <w:rsid w:val="006B2D86"/>
    <w:rsid w:val="006B4F61"/>
    <w:rsid w:val="006B6E83"/>
    <w:rsid w:val="006B770C"/>
    <w:rsid w:val="006C1CFF"/>
    <w:rsid w:val="006C2465"/>
    <w:rsid w:val="006C283B"/>
    <w:rsid w:val="006C30E9"/>
    <w:rsid w:val="006C3C23"/>
    <w:rsid w:val="006C57CF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75D7"/>
    <w:rsid w:val="0070149E"/>
    <w:rsid w:val="00701744"/>
    <w:rsid w:val="007038AD"/>
    <w:rsid w:val="00704C29"/>
    <w:rsid w:val="00711BCD"/>
    <w:rsid w:val="00712AB6"/>
    <w:rsid w:val="0071496D"/>
    <w:rsid w:val="00715F84"/>
    <w:rsid w:val="00716A8C"/>
    <w:rsid w:val="0072142F"/>
    <w:rsid w:val="007229D1"/>
    <w:rsid w:val="00722E31"/>
    <w:rsid w:val="00724CB5"/>
    <w:rsid w:val="007253BD"/>
    <w:rsid w:val="00726EA1"/>
    <w:rsid w:val="00730FDA"/>
    <w:rsid w:val="007322DA"/>
    <w:rsid w:val="0073350D"/>
    <w:rsid w:val="007349AA"/>
    <w:rsid w:val="00734A32"/>
    <w:rsid w:val="0073570D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2059"/>
    <w:rsid w:val="007C2BC8"/>
    <w:rsid w:val="007C2D84"/>
    <w:rsid w:val="007C5AE6"/>
    <w:rsid w:val="007C6907"/>
    <w:rsid w:val="007C758D"/>
    <w:rsid w:val="007D000D"/>
    <w:rsid w:val="007D2762"/>
    <w:rsid w:val="007D2B32"/>
    <w:rsid w:val="007D3B7B"/>
    <w:rsid w:val="007D502D"/>
    <w:rsid w:val="007D7180"/>
    <w:rsid w:val="007E059C"/>
    <w:rsid w:val="007E2D48"/>
    <w:rsid w:val="007E4F75"/>
    <w:rsid w:val="007E6F20"/>
    <w:rsid w:val="007E7416"/>
    <w:rsid w:val="007E7E39"/>
    <w:rsid w:val="007F06E4"/>
    <w:rsid w:val="007F2D3B"/>
    <w:rsid w:val="007F3136"/>
    <w:rsid w:val="007F5826"/>
    <w:rsid w:val="007F5D2D"/>
    <w:rsid w:val="007F792D"/>
    <w:rsid w:val="007F7E6F"/>
    <w:rsid w:val="0080022D"/>
    <w:rsid w:val="0080193E"/>
    <w:rsid w:val="008026A5"/>
    <w:rsid w:val="008053FC"/>
    <w:rsid w:val="008100BC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26CC8"/>
    <w:rsid w:val="00830BCA"/>
    <w:rsid w:val="00833522"/>
    <w:rsid w:val="0083472C"/>
    <w:rsid w:val="0083546B"/>
    <w:rsid w:val="00836081"/>
    <w:rsid w:val="0084380D"/>
    <w:rsid w:val="00843BB5"/>
    <w:rsid w:val="00844058"/>
    <w:rsid w:val="00844FF5"/>
    <w:rsid w:val="008454BE"/>
    <w:rsid w:val="00852645"/>
    <w:rsid w:val="00852E46"/>
    <w:rsid w:val="00854D8B"/>
    <w:rsid w:val="008553E3"/>
    <w:rsid w:val="00856C84"/>
    <w:rsid w:val="0085779B"/>
    <w:rsid w:val="00857B32"/>
    <w:rsid w:val="00862655"/>
    <w:rsid w:val="00863D9D"/>
    <w:rsid w:val="00865BD4"/>
    <w:rsid w:val="00866069"/>
    <w:rsid w:val="008668F0"/>
    <w:rsid w:val="00872B2A"/>
    <w:rsid w:val="008749A5"/>
    <w:rsid w:val="00874B70"/>
    <w:rsid w:val="00874EAD"/>
    <w:rsid w:val="00881BF9"/>
    <w:rsid w:val="00887FCF"/>
    <w:rsid w:val="0089097F"/>
    <w:rsid w:val="008929A1"/>
    <w:rsid w:val="0089684B"/>
    <w:rsid w:val="00896F90"/>
    <w:rsid w:val="008A13D0"/>
    <w:rsid w:val="008A1E4D"/>
    <w:rsid w:val="008A43DD"/>
    <w:rsid w:val="008A5DFC"/>
    <w:rsid w:val="008B13C6"/>
    <w:rsid w:val="008C0A5C"/>
    <w:rsid w:val="008C197F"/>
    <w:rsid w:val="008C499F"/>
    <w:rsid w:val="008C5643"/>
    <w:rsid w:val="008D096E"/>
    <w:rsid w:val="008D26E2"/>
    <w:rsid w:val="008D3161"/>
    <w:rsid w:val="008D7FD0"/>
    <w:rsid w:val="008E2CDD"/>
    <w:rsid w:val="008E4DD8"/>
    <w:rsid w:val="008E5B02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2D5"/>
    <w:rsid w:val="0090358A"/>
    <w:rsid w:val="00903F2B"/>
    <w:rsid w:val="00905FD7"/>
    <w:rsid w:val="00907218"/>
    <w:rsid w:val="00907C9D"/>
    <w:rsid w:val="00910184"/>
    <w:rsid w:val="0091190A"/>
    <w:rsid w:val="00912F99"/>
    <w:rsid w:val="009135BE"/>
    <w:rsid w:val="00913D8B"/>
    <w:rsid w:val="0091428E"/>
    <w:rsid w:val="0091718F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449E7"/>
    <w:rsid w:val="009451C8"/>
    <w:rsid w:val="009456E1"/>
    <w:rsid w:val="00946550"/>
    <w:rsid w:val="00946B4B"/>
    <w:rsid w:val="0095142F"/>
    <w:rsid w:val="009522F1"/>
    <w:rsid w:val="009543DA"/>
    <w:rsid w:val="00954CB4"/>
    <w:rsid w:val="00956179"/>
    <w:rsid w:val="00956B52"/>
    <w:rsid w:val="0095756D"/>
    <w:rsid w:val="009662F4"/>
    <w:rsid w:val="00973E82"/>
    <w:rsid w:val="009758C0"/>
    <w:rsid w:val="0098004B"/>
    <w:rsid w:val="009808FC"/>
    <w:rsid w:val="00981B04"/>
    <w:rsid w:val="009837A1"/>
    <w:rsid w:val="00985F64"/>
    <w:rsid w:val="0098651D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5272"/>
    <w:rsid w:val="009B28EC"/>
    <w:rsid w:val="009B2AD7"/>
    <w:rsid w:val="009B5427"/>
    <w:rsid w:val="009B60B2"/>
    <w:rsid w:val="009B75B9"/>
    <w:rsid w:val="009C53B4"/>
    <w:rsid w:val="009C5BDD"/>
    <w:rsid w:val="009D038D"/>
    <w:rsid w:val="009D098E"/>
    <w:rsid w:val="009D14CF"/>
    <w:rsid w:val="009D1828"/>
    <w:rsid w:val="009D3D04"/>
    <w:rsid w:val="009D4FBF"/>
    <w:rsid w:val="009D5617"/>
    <w:rsid w:val="009D561B"/>
    <w:rsid w:val="009D5AF5"/>
    <w:rsid w:val="009E1FA0"/>
    <w:rsid w:val="009E240B"/>
    <w:rsid w:val="009F0860"/>
    <w:rsid w:val="009F17A6"/>
    <w:rsid w:val="009F2875"/>
    <w:rsid w:val="009F295A"/>
    <w:rsid w:val="009F386E"/>
    <w:rsid w:val="009F4AE6"/>
    <w:rsid w:val="009F6E3F"/>
    <w:rsid w:val="00A00911"/>
    <w:rsid w:val="00A01A42"/>
    <w:rsid w:val="00A01FD6"/>
    <w:rsid w:val="00A02F35"/>
    <w:rsid w:val="00A03711"/>
    <w:rsid w:val="00A10954"/>
    <w:rsid w:val="00A10FBD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26C1"/>
    <w:rsid w:val="00A43C1A"/>
    <w:rsid w:val="00A44CF5"/>
    <w:rsid w:val="00A4577A"/>
    <w:rsid w:val="00A501AC"/>
    <w:rsid w:val="00A51FB8"/>
    <w:rsid w:val="00A57200"/>
    <w:rsid w:val="00A617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53A2"/>
    <w:rsid w:val="00A87352"/>
    <w:rsid w:val="00A925BF"/>
    <w:rsid w:val="00A95864"/>
    <w:rsid w:val="00A96BD2"/>
    <w:rsid w:val="00A97230"/>
    <w:rsid w:val="00AA03E3"/>
    <w:rsid w:val="00AA165C"/>
    <w:rsid w:val="00AA1BF1"/>
    <w:rsid w:val="00AA31B8"/>
    <w:rsid w:val="00AA4D19"/>
    <w:rsid w:val="00AA520F"/>
    <w:rsid w:val="00AA5443"/>
    <w:rsid w:val="00AA7756"/>
    <w:rsid w:val="00AB01D5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68F"/>
    <w:rsid w:val="00AD13F5"/>
    <w:rsid w:val="00AD14E3"/>
    <w:rsid w:val="00AD1D58"/>
    <w:rsid w:val="00AD24BA"/>
    <w:rsid w:val="00AD34FF"/>
    <w:rsid w:val="00AD35D0"/>
    <w:rsid w:val="00AD5ED7"/>
    <w:rsid w:val="00AD5F4E"/>
    <w:rsid w:val="00AD6811"/>
    <w:rsid w:val="00AD6A3B"/>
    <w:rsid w:val="00AD7309"/>
    <w:rsid w:val="00AE154D"/>
    <w:rsid w:val="00AE27C3"/>
    <w:rsid w:val="00AE341F"/>
    <w:rsid w:val="00AE5191"/>
    <w:rsid w:val="00AE73BC"/>
    <w:rsid w:val="00AE76C7"/>
    <w:rsid w:val="00AE7F2E"/>
    <w:rsid w:val="00AF3D70"/>
    <w:rsid w:val="00AF3E60"/>
    <w:rsid w:val="00AF5F2B"/>
    <w:rsid w:val="00AF7D6B"/>
    <w:rsid w:val="00B03319"/>
    <w:rsid w:val="00B03A2A"/>
    <w:rsid w:val="00B1388E"/>
    <w:rsid w:val="00B14331"/>
    <w:rsid w:val="00B1682C"/>
    <w:rsid w:val="00B16F50"/>
    <w:rsid w:val="00B204EA"/>
    <w:rsid w:val="00B22AEF"/>
    <w:rsid w:val="00B24414"/>
    <w:rsid w:val="00B250E7"/>
    <w:rsid w:val="00B25899"/>
    <w:rsid w:val="00B259A1"/>
    <w:rsid w:val="00B309F9"/>
    <w:rsid w:val="00B31F31"/>
    <w:rsid w:val="00B321EB"/>
    <w:rsid w:val="00B32221"/>
    <w:rsid w:val="00B329E2"/>
    <w:rsid w:val="00B3668B"/>
    <w:rsid w:val="00B37C15"/>
    <w:rsid w:val="00B445A3"/>
    <w:rsid w:val="00B447AB"/>
    <w:rsid w:val="00B4495B"/>
    <w:rsid w:val="00B45DDC"/>
    <w:rsid w:val="00B501CE"/>
    <w:rsid w:val="00B5231D"/>
    <w:rsid w:val="00B541A6"/>
    <w:rsid w:val="00B56D1C"/>
    <w:rsid w:val="00B62005"/>
    <w:rsid w:val="00B64A22"/>
    <w:rsid w:val="00B64A57"/>
    <w:rsid w:val="00B749D5"/>
    <w:rsid w:val="00B75F36"/>
    <w:rsid w:val="00B75F7D"/>
    <w:rsid w:val="00B77811"/>
    <w:rsid w:val="00B8143D"/>
    <w:rsid w:val="00B857C3"/>
    <w:rsid w:val="00B87D1C"/>
    <w:rsid w:val="00B90803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7066"/>
    <w:rsid w:val="00BB7678"/>
    <w:rsid w:val="00BB7CDC"/>
    <w:rsid w:val="00BC11D7"/>
    <w:rsid w:val="00BC2DFD"/>
    <w:rsid w:val="00BC3510"/>
    <w:rsid w:val="00BC4FBB"/>
    <w:rsid w:val="00BD056B"/>
    <w:rsid w:val="00BD46FD"/>
    <w:rsid w:val="00BD4FC1"/>
    <w:rsid w:val="00BD52AA"/>
    <w:rsid w:val="00BD7A71"/>
    <w:rsid w:val="00BE3369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26F7"/>
    <w:rsid w:val="00C053EB"/>
    <w:rsid w:val="00C05FF7"/>
    <w:rsid w:val="00C068BE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248DF"/>
    <w:rsid w:val="00C30358"/>
    <w:rsid w:val="00C30CC8"/>
    <w:rsid w:val="00C3336A"/>
    <w:rsid w:val="00C336D0"/>
    <w:rsid w:val="00C343B0"/>
    <w:rsid w:val="00C37545"/>
    <w:rsid w:val="00C42762"/>
    <w:rsid w:val="00C4365E"/>
    <w:rsid w:val="00C46A1C"/>
    <w:rsid w:val="00C50804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80F39"/>
    <w:rsid w:val="00C81AE2"/>
    <w:rsid w:val="00C83178"/>
    <w:rsid w:val="00C831D0"/>
    <w:rsid w:val="00C848F7"/>
    <w:rsid w:val="00C867E0"/>
    <w:rsid w:val="00C8707B"/>
    <w:rsid w:val="00C91F05"/>
    <w:rsid w:val="00C92805"/>
    <w:rsid w:val="00C93005"/>
    <w:rsid w:val="00C9451B"/>
    <w:rsid w:val="00C95008"/>
    <w:rsid w:val="00C95ACC"/>
    <w:rsid w:val="00C97670"/>
    <w:rsid w:val="00CA0242"/>
    <w:rsid w:val="00CA14EB"/>
    <w:rsid w:val="00CA299A"/>
    <w:rsid w:val="00CA350F"/>
    <w:rsid w:val="00CB1EF2"/>
    <w:rsid w:val="00CB2184"/>
    <w:rsid w:val="00CC06F8"/>
    <w:rsid w:val="00CC220A"/>
    <w:rsid w:val="00CC2BA5"/>
    <w:rsid w:val="00CC36E0"/>
    <w:rsid w:val="00CC435D"/>
    <w:rsid w:val="00CC6798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3E6C"/>
    <w:rsid w:val="00CF4019"/>
    <w:rsid w:val="00CF56AD"/>
    <w:rsid w:val="00CF56E3"/>
    <w:rsid w:val="00D00343"/>
    <w:rsid w:val="00D00D22"/>
    <w:rsid w:val="00D01755"/>
    <w:rsid w:val="00D01B4D"/>
    <w:rsid w:val="00D03DCE"/>
    <w:rsid w:val="00D04037"/>
    <w:rsid w:val="00D11A3F"/>
    <w:rsid w:val="00D15EC9"/>
    <w:rsid w:val="00D16E20"/>
    <w:rsid w:val="00D17F09"/>
    <w:rsid w:val="00D209AA"/>
    <w:rsid w:val="00D218AE"/>
    <w:rsid w:val="00D22963"/>
    <w:rsid w:val="00D22A6E"/>
    <w:rsid w:val="00D23327"/>
    <w:rsid w:val="00D242B7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32CF"/>
    <w:rsid w:val="00D535B0"/>
    <w:rsid w:val="00D53617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5EB2"/>
    <w:rsid w:val="00D76660"/>
    <w:rsid w:val="00D76E81"/>
    <w:rsid w:val="00D77D65"/>
    <w:rsid w:val="00D803B8"/>
    <w:rsid w:val="00D86660"/>
    <w:rsid w:val="00D86845"/>
    <w:rsid w:val="00D8711D"/>
    <w:rsid w:val="00D879DE"/>
    <w:rsid w:val="00D909B7"/>
    <w:rsid w:val="00D91585"/>
    <w:rsid w:val="00D928EC"/>
    <w:rsid w:val="00D934CA"/>
    <w:rsid w:val="00D93D1F"/>
    <w:rsid w:val="00D9574C"/>
    <w:rsid w:val="00D9594E"/>
    <w:rsid w:val="00D96549"/>
    <w:rsid w:val="00DA30BE"/>
    <w:rsid w:val="00DA3CF1"/>
    <w:rsid w:val="00DA5188"/>
    <w:rsid w:val="00DA55E8"/>
    <w:rsid w:val="00DA6D17"/>
    <w:rsid w:val="00DB0A92"/>
    <w:rsid w:val="00DB58AB"/>
    <w:rsid w:val="00DB6C0C"/>
    <w:rsid w:val="00DC0E89"/>
    <w:rsid w:val="00DC2970"/>
    <w:rsid w:val="00DC5523"/>
    <w:rsid w:val="00DC615B"/>
    <w:rsid w:val="00DC7906"/>
    <w:rsid w:val="00DD07BB"/>
    <w:rsid w:val="00DD297F"/>
    <w:rsid w:val="00DD470D"/>
    <w:rsid w:val="00DD4A29"/>
    <w:rsid w:val="00DD4D55"/>
    <w:rsid w:val="00DD5358"/>
    <w:rsid w:val="00DD6AE4"/>
    <w:rsid w:val="00DE00D3"/>
    <w:rsid w:val="00DE0291"/>
    <w:rsid w:val="00DE0D13"/>
    <w:rsid w:val="00DE35FB"/>
    <w:rsid w:val="00DE6017"/>
    <w:rsid w:val="00DE6353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50CF7"/>
    <w:rsid w:val="00E51F7A"/>
    <w:rsid w:val="00E521EB"/>
    <w:rsid w:val="00E57259"/>
    <w:rsid w:val="00E6378D"/>
    <w:rsid w:val="00E63EF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7305"/>
    <w:rsid w:val="00E97583"/>
    <w:rsid w:val="00EA03FC"/>
    <w:rsid w:val="00EA0D20"/>
    <w:rsid w:val="00EA1B14"/>
    <w:rsid w:val="00EA246E"/>
    <w:rsid w:val="00EA6C1A"/>
    <w:rsid w:val="00EA7A8F"/>
    <w:rsid w:val="00EB365E"/>
    <w:rsid w:val="00EB3D19"/>
    <w:rsid w:val="00EB403E"/>
    <w:rsid w:val="00EB4191"/>
    <w:rsid w:val="00EB7E89"/>
    <w:rsid w:val="00EC4172"/>
    <w:rsid w:val="00EC504D"/>
    <w:rsid w:val="00EC7594"/>
    <w:rsid w:val="00ED0778"/>
    <w:rsid w:val="00ED1C42"/>
    <w:rsid w:val="00ED27CE"/>
    <w:rsid w:val="00ED4C5A"/>
    <w:rsid w:val="00ED6F19"/>
    <w:rsid w:val="00EE5391"/>
    <w:rsid w:val="00EE5CE5"/>
    <w:rsid w:val="00EE729C"/>
    <w:rsid w:val="00EF1CC8"/>
    <w:rsid w:val="00EF21E9"/>
    <w:rsid w:val="00EF2697"/>
    <w:rsid w:val="00EF44C5"/>
    <w:rsid w:val="00EF53C2"/>
    <w:rsid w:val="00EF6264"/>
    <w:rsid w:val="00EF7030"/>
    <w:rsid w:val="00EF768C"/>
    <w:rsid w:val="00F00F55"/>
    <w:rsid w:val="00F018D4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3F8D"/>
    <w:rsid w:val="00F24056"/>
    <w:rsid w:val="00F30563"/>
    <w:rsid w:val="00F305E2"/>
    <w:rsid w:val="00F317CC"/>
    <w:rsid w:val="00F331F3"/>
    <w:rsid w:val="00F367A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53BA"/>
    <w:rsid w:val="00F6719D"/>
    <w:rsid w:val="00F70D21"/>
    <w:rsid w:val="00F71FE6"/>
    <w:rsid w:val="00F74CD6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7446"/>
    <w:rsid w:val="00FB04EE"/>
    <w:rsid w:val="00FB10C3"/>
    <w:rsid w:val="00FB16B3"/>
    <w:rsid w:val="00FB3A38"/>
    <w:rsid w:val="00FB48A0"/>
    <w:rsid w:val="00FB6BFE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2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0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file.me/3oeTg/zr5Rxz9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ofile.me/3oeTg/7VGjViYw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9960-A3C6-46EE-9E05-131A7D5A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55</TotalTime>
  <Pages>5</Pages>
  <Words>1064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Virkus</dc:creator>
  <cp:lastModifiedBy>Salome Virkus</cp:lastModifiedBy>
  <cp:revision>29</cp:revision>
  <cp:lastPrinted>2011-06-28T11:10:00Z</cp:lastPrinted>
  <dcterms:created xsi:type="dcterms:W3CDTF">2019-03-25T12:06:00Z</dcterms:created>
  <dcterms:modified xsi:type="dcterms:W3CDTF">2022-06-14T09:06:00Z</dcterms:modified>
</cp:coreProperties>
</file>