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335C" w14:textId="77777777" w:rsidR="0007121E" w:rsidRPr="002A08A0" w:rsidRDefault="0007121E" w:rsidP="000D26ED">
      <w:pPr>
        <w:tabs>
          <w:tab w:val="left" w:pos="5103"/>
        </w:tabs>
        <w:jc w:val="right"/>
      </w:pPr>
      <w:r w:rsidRPr="002A08A0">
        <w:t xml:space="preserve">KINNITATUD </w:t>
      </w:r>
    </w:p>
    <w:p w14:paraId="46F51C40" w14:textId="77777777" w:rsidR="0007121E" w:rsidRPr="002A08A0" w:rsidRDefault="0007121E" w:rsidP="000D26ED">
      <w:pPr>
        <w:tabs>
          <w:tab w:val="left" w:pos="5103"/>
        </w:tabs>
        <w:jc w:val="right"/>
      </w:pPr>
      <w:r w:rsidRPr="002A08A0">
        <w:tab/>
        <w:t>... Kutsenõukogu ....20</w:t>
      </w:r>
      <w:r>
        <w:t>2</w:t>
      </w:r>
      <w:r w:rsidRPr="002A08A0">
        <w:t>... otsusega nr …</w:t>
      </w:r>
    </w:p>
    <w:p w14:paraId="44499632" w14:textId="05A88F5A" w:rsidR="0007121E" w:rsidRDefault="0007121E" w:rsidP="000D26ED">
      <w:pPr>
        <w:jc w:val="right"/>
        <w:rPr>
          <w:b/>
        </w:rPr>
      </w:pPr>
    </w:p>
    <w:p w14:paraId="2E90207A" w14:textId="77777777" w:rsidR="000D26ED" w:rsidRPr="002A08A0" w:rsidRDefault="000D26ED" w:rsidP="000D26ED">
      <w:pPr>
        <w:jc w:val="right"/>
        <w:rPr>
          <w:b/>
        </w:rPr>
      </w:pPr>
    </w:p>
    <w:p w14:paraId="5613D8ED" w14:textId="77777777" w:rsidR="0007121E" w:rsidRPr="002A08A0" w:rsidRDefault="0007121E" w:rsidP="000D26ED">
      <w:pPr>
        <w:jc w:val="center"/>
        <w:rPr>
          <w:b/>
        </w:rPr>
      </w:pPr>
      <w:r w:rsidRPr="002A08A0">
        <w:rPr>
          <w:b/>
          <w:i/>
        </w:rPr>
        <w:t>(Kutse andja nimetus)</w:t>
      </w:r>
      <w:r w:rsidRPr="002A08A0">
        <w:rPr>
          <w:b/>
        </w:rPr>
        <w:t xml:space="preserve"> KUTSE ANDMISE KORD</w:t>
      </w:r>
    </w:p>
    <w:p w14:paraId="5275D0FE" w14:textId="77777777" w:rsidR="0007121E" w:rsidRPr="002A08A0" w:rsidRDefault="0007121E" w:rsidP="000D26ED">
      <w:pPr>
        <w:jc w:val="center"/>
        <w:rPr>
          <w:b/>
        </w:rPr>
      </w:pPr>
      <w:r w:rsidRPr="002A08A0">
        <w:t xml:space="preserve">………………………….. </w:t>
      </w:r>
      <w:r w:rsidRPr="002A08A0">
        <w:rPr>
          <w:b/>
        </w:rPr>
        <w:t>kutsetele</w:t>
      </w:r>
    </w:p>
    <w:p w14:paraId="0CDF7266" w14:textId="77777777" w:rsidR="0007121E" w:rsidRPr="002A08A0" w:rsidRDefault="0007121E" w:rsidP="006D73BA">
      <w:pPr>
        <w:jc w:val="both"/>
        <w:rPr>
          <w:b/>
        </w:rPr>
      </w:pPr>
    </w:p>
    <w:p w14:paraId="73346986" w14:textId="77777777" w:rsidR="0007121E" w:rsidRPr="002A08A0" w:rsidRDefault="0007121E" w:rsidP="006D73BA">
      <w:pPr>
        <w:jc w:val="both"/>
        <w:rPr>
          <w:b/>
        </w:rPr>
      </w:pPr>
    </w:p>
    <w:p w14:paraId="3CC13BE8" w14:textId="77777777" w:rsidR="0007121E" w:rsidRPr="002A08A0" w:rsidRDefault="0007121E" w:rsidP="006D73BA">
      <w:pPr>
        <w:jc w:val="both"/>
        <w:rPr>
          <w:b/>
        </w:rPr>
      </w:pPr>
    </w:p>
    <w:p w14:paraId="5C24016E" w14:textId="77777777" w:rsidR="0007121E" w:rsidRPr="002A08A0" w:rsidRDefault="0007121E" w:rsidP="006D73BA">
      <w:pPr>
        <w:pStyle w:val="Heading1"/>
      </w:pPr>
      <w:bookmarkStart w:id="0" w:name="_Toc419121502"/>
      <w:r w:rsidRPr="002A08A0">
        <w:t>ÜLDOSA</w:t>
      </w:r>
      <w:bookmarkEnd w:id="0"/>
    </w:p>
    <w:p w14:paraId="6C57C41B" w14:textId="77777777" w:rsidR="0007121E" w:rsidRPr="00F911B2" w:rsidRDefault="0007121E" w:rsidP="006D73BA">
      <w:pPr>
        <w:pStyle w:val="ListParagraph"/>
        <w:numPr>
          <w:ilvl w:val="1"/>
          <w:numId w:val="1"/>
        </w:numPr>
        <w:ind w:left="0" w:firstLine="0"/>
        <w:contextualSpacing w:val="0"/>
        <w:jc w:val="both"/>
      </w:pPr>
      <w:r w:rsidRPr="00F911B2">
        <w:t>Kutse andmise kord (edaspidi kord) reguleerib järgmiste kutsete andmise korraldamist (</w:t>
      </w:r>
      <w:r w:rsidRPr="00F911B2">
        <w:rPr>
          <w:i/>
        </w:rPr>
        <w:t>loetelu</w:t>
      </w:r>
      <w:r w:rsidRPr="00F911B2">
        <w:t>):</w:t>
      </w:r>
    </w:p>
    <w:p w14:paraId="7E0B3644" w14:textId="77777777" w:rsidR="0007121E" w:rsidRPr="00F911B2" w:rsidRDefault="0007121E" w:rsidP="006D73BA">
      <w:pPr>
        <w:pStyle w:val="ListParagraph"/>
        <w:numPr>
          <w:ilvl w:val="0"/>
          <w:numId w:val="3"/>
        </w:numPr>
        <w:ind w:left="284" w:hanging="284"/>
        <w:contextualSpacing w:val="0"/>
        <w:jc w:val="both"/>
      </w:pPr>
      <w:r w:rsidRPr="00F911B2">
        <w:t>…………………</w:t>
      </w:r>
    </w:p>
    <w:p w14:paraId="0F2DD5A7" w14:textId="77777777" w:rsidR="0007121E" w:rsidRPr="00F911B2" w:rsidRDefault="0007121E" w:rsidP="006D73BA">
      <w:pPr>
        <w:pStyle w:val="ListParagraph"/>
        <w:numPr>
          <w:ilvl w:val="0"/>
          <w:numId w:val="3"/>
        </w:numPr>
        <w:ind w:left="284" w:hanging="284"/>
        <w:contextualSpacing w:val="0"/>
        <w:jc w:val="both"/>
      </w:pPr>
      <w:r w:rsidRPr="00F911B2">
        <w:t>…………………</w:t>
      </w:r>
    </w:p>
    <w:p w14:paraId="6C6A2063" w14:textId="77777777" w:rsidR="0007121E" w:rsidRPr="00F911B2" w:rsidRDefault="0007121E" w:rsidP="006D73BA">
      <w:pPr>
        <w:pStyle w:val="ListParagraph"/>
        <w:numPr>
          <w:ilvl w:val="0"/>
          <w:numId w:val="3"/>
        </w:numPr>
        <w:ind w:left="284" w:hanging="284"/>
        <w:contextualSpacing w:val="0"/>
        <w:jc w:val="both"/>
      </w:pPr>
      <w:r w:rsidRPr="00F911B2">
        <w:t>…………………</w:t>
      </w:r>
    </w:p>
    <w:p w14:paraId="3E696310" w14:textId="77777777" w:rsidR="0007121E" w:rsidRPr="00F911B2" w:rsidRDefault="0007121E" w:rsidP="006D73BA">
      <w:pPr>
        <w:pStyle w:val="ListParagraph"/>
        <w:numPr>
          <w:ilvl w:val="1"/>
          <w:numId w:val="1"/>
        </w:numPr>
        <w:tabs>
          <w:tab w:val="left" w:pos="0"/>
        </w:tabs>
        <w:spacing w:before="120"/>
        <w:ind w:left="0" w:firstLine="0"/>
        <w:contextualSpacing w:val="0"/>
        <w:jc w:val="both"/>
      </w:pPr>
      <w:r w:rsidRPr="00F911B2">
        <w:t>Iga kutse kompetentsusnõuded on kehtestatud kutsestandardis. Kompetentsuse hindamise positiivse tulemusena väljastatakse kutsetunnistus.</w:t>
      </w:r>
    </w:p>
    <w:p w14:paraId="6C0A2245" w14:textId="77777777" w:rsidR="0007121E" w:rsidRPr="00F911B2" w:rsidRDefault="0007121E" w:rsidP="006D73BA">
      <w:pPr>
        <w:pStyle w:val="ListParagraph"/>
        <w:numPr>
          <w:ilvl w:val="1"/>
          <w:numId w:val="1"/>
        </w:numPr>
        <w:spacing w:before="120"/>
        <w:ind w:left="0" w:firstLine="0"/>
        <w:contextualSpacing w:val="0"/>
        <w:jc w:val="both"/>
      </w:pPr>
      <w:r w:rsidRPr="00F911B2">
        <w:t xml:space="preserve">Kutse taotlemine ja tõendamine, sh taastõendamine, on taotlejale tasuline </w:t>
      </w:r>
      <w:bookmarkStart w:id="1" w:name="_Hlk499380255"/>
      <w:r w:rsidRPr="00F911B2">
        <w:t>(vastavalt kutseseaduse § 17 lõikele 2)</w:t>
      </w:r>
      <w:bookmarkEnd w:id="1"/>
      <w:r w:rsidRPr="00F911B2">
        <w:t xml:space="preserve">, tasu suuruse kalkuleerib kutse andja ja kinnitab </w:t>
      </w:r>
      <w:r w:rsidRPr="00F911B2">
        <w:rPr>
          <w:i/>
        </w:rPr>
        <w:t>(kutsenõukogu nimetus</w:t>
      </w:r>
      <w:r w:rsidRPr="00F911B2">
        <w:t>) Kutsenõukogu (edaspidi kutsenõukogu).</w:t>
      </w:r>
    </w:p>
    <w:p w14:paraId="5BD19984" w14:textId="77777777" w:rsidR="0007121E" w:rsidRPr="00F911B2" w:rsidRDefault="0007121E" w:rsidP="006D73BA">
      <w:pPr>
        <w:pStyle w:val="ListParagraph"/>
        <w:numPr>
          <w:ilvl w:val="1"/>
          <w:numId w:val="1"/>
        </w:numPr>
        <w:spacing w:before="120"/>
        <w:ind w:left="0" w:firstLine="0"/>
        <w:contextualSpacing w:val="0"/>
        <w:jc w:val="both"/>
      </w:pPr>
      <w:r w:rsidRPr="00F911B2">
        <w:t>Korra ja selle muudatused kinnitab kutsenõukogu ning need jõustuvad kutsenõukogu koosolekule järgneval kutse andmise väljakuulutamisel (v.a kutsekomisjoni koosseisu muudatused, mis jõustuvad kutsenõukogu otsuse tegemise hetkest).</w:t>
      </w:r>
    </w:p>
    <w:p w14:paraId="12FB3EE3" w14:textId="77777777" w:rsidR="0007121E" w:rsidRPr="002A08A0" w:rsidRDefault="0007121E" w:rsidP="006D73BA">
      <w:pPr>
        <w:pStyle w:val="ListParagraph"/>
        <w:tabs>
          <w:tab w:val="left" w:pos="-2268"/>
          <w:tab w:val="left" w:pos="426"/>
        </w:tabs>
        <w:ind w:left="0"/>
        <w:contextualSpacing w:val="0"/>
        <w:jc w:val="both"/>
      </w:pPr>
    </w:p>
    <w:p w14:paraId="4BA84D73" w14:textId="77777777" w:rsidR="0007121E" w:rsidRPr="002A08A0" w:rsidRDefault="0007121E" w:rsidP="006D73BA">
      <w:pPr>
        <w:pStyle w:val="Heading1"/>
      </w:pPr>
      <w:bookmarkStart w:id="2" w:name="_Toc419121503"/>
      <w:r w:rsidRPr="002A08A0">
        <w:t>KUTSE TAOTLEMISE JA TAASTÕENDAMISE EELTINGIMUSED JA ESITATAVAD DOKUMENDID</w:t>
      </w:r>
      <w:bookmarkEnd w:id="2"/>
    </w:p>
    <w:p w14:paraId="12B01D75" w14:textId="77777777" w:rsidR="0007121E" w:rsidRPr="002A08A0" w:rsidRDefault="0007121E" w:rsidP="006D73BA">
      <w:pPr>
        <w:pStyle w:val="ListParagraph"/>
        <w:tabs>
          <w:tab w:val="left" w:pos="426"/>
        </w:tabs>
        <w:spacing w:before="120"/>
        <w:ind w:left="0"/>
        <w:contextualSpacing w:val="0"/>
        <w:jc w:val="both"/>
        <w:rPr>
          <w:i/>
          <w:sz w:val="20"/>
          <w:szCs w:val="20"/>
        </w:rPr>
      </w:pPr>
      <w:bookmarkStart w:id="3" w:name="_Hlk37779136"/>
      <w:r w:rsidRPr="002A08A0">
        <w:rPr>
          <w:i/>
          <w:sz w:val="20"/>
          <w:szCs w:val="20"/>
        </w:rPr>
        <w:t>Vajadusel loetletakse iga konkreetse kutse taotlemise ja taastõendamise eeltingimused ja dokumendid.</w:t>
      </w:r>
    </w:p>
    <w:bookmarkEnd w:id="3"/>
    <w:p w14:paraId="0966BB78" w14:textId="77777777" w:rsidR="0007121E" w:rsidRPr="002A08A0" w:rsidRDefault="0007121E" w:rsidP="006D73BA">
      <w:pPr>
        <w:pStyle w:val="CommentText"/>
        <w:numPr>
          <w:ilvl w:val="0"/>
          <w:numId w:val="5"/>
        </w:numPr>
        <w:jc w:val="both"/>
        <w:rPr>
          <w:i/>
        </w:rPr>
      </w:pPr>
      <w:r w:rsidRPr="002A08A0">
        <w:rPr>
          <w:i/>
        </w:rPr>
        <w:t>Töökogemuse nõudmine võib olla põhjendatud, kuid töötatud aastate konkreetne arv ei saa olla kutse taotlemise eelduseks.</w:t>
      </w:r>
    </w:p>
    <w:p w14:paraId="45329348" w14:textId="77777777" w:rsidR="0007121E" w:rsidRPr="002A08A0" w:rsidRDefault="0007121E" w:rsidP="006D73BA">
      <w:pPr>
        <w:pStyle w:val="CommentText"/>
        <w:numPr>
          <w:ilvl w:val="0"/>
          <w:numId w:val="5"/>
        </w:numPr>
        <w:jc w:val="both"/>
        <w:rPr>
          <w:i/>
        </w:rPr>
      </w:pPr>
      <w:r w:rsidRPr="002A08A0">
        <w:rPr>
          <w:i/>
        </w:rPr>
        <w:t>Kui töötamiseks ei ole mõnes õigusaktis nõutud kindlat hariduslikku kvalifikatsiooni, siis tuleb vältida kindla haridustaseme nõudmist kutse taotlemise eeltingimusena. Kutsetunnistus võib olla alternatiiv koolilõputunnistusele.</w:t>
      </w:r>
    </w:p>
    <w:p w14:paraId="4048FCD6" w14:textId="77777777" w:rsidR="0007121E" w:rsidRPr="002A08A0" w:rsidRDefault="0007121E" w:rsidP="006D73BA">
      <w:pPr>
        <w:pStyle w:val="Heading2"/>
        <w:spacing w:before="120"/>
        <w:ind w:left="0" w:firstLine="0"/>
        <w:jc w:val="both"/>
      </w:pPr>
      <w:r w:rsidRPr="002A08A0">
        <w:t>Kutse taotlemise</w:t>
      </w:r>
      <w:r w:rsidRPr="002A08A0">
        <w:rPr>
          <w:sz w:val="22"/>
          <w:szCs w:val="22"/>
        </w:rPr>
        <w:t xml:space="preserve"> </w:t>
      </w:r>
      <w:r w:rsidRPr="002A08A0">
        <w:t xml:space="preserve">eeltingimused: </w:t>
      </w:r>
    </w:p>
    <w:p w14:paraId="4B1862C0" w14:textId="77777777" w:rsidR="0007121E" w:rsidRDefault="0007121E" w:rsidP="006D73BA">
      <w:pPr>
        <w:pStyle w:val="ListParagraph"/>
        <w:tabs>
          <w:tab w:val="left" w:pos="426"/>
        </w:tabs>
        <w:ind w:left="0"/>
        <w:contextualSpacing w:val="0"/>
        <w:jc w:val="both"/>
        <w:rPr>
          <w:i/>
          <w:sz w:val="20"/>
          <w:szCs w:val="20"/>
        </w:rPr>
      </w:pPr>
      <w:r w:rsidRPr="002A08A0">
        <w:rPr>
          <w:i/>
          <w:sz w:val="20"/>
          <w:szCs w:val="20"/>
        </w:rPr>
        <w:t>Vajadusel loetleda iga kutse kohta eraldi</w:t>
      </w:r>
    </w:p>
    <w:p w14:paraId="019144C2" w14:textId="77777777" w:rsidR="0007121E" w:rsidRPr="00880B84" w:rsidRDefault="0007121E" w:rsidP="006D73BA">
      <w:pPr>
        <w:pStyle w:val="ListParagraph"/>
        <w:tabs>
          <w:tab w:val="left" w:pos="426"/>
        </w:tabs>
        <w:ind w:left="0"/>
        <w:contextualSpacing w:val="0"/>
        <w:jc w:val="both"/>
        <w:rPr>
          <w:iCs/>
        </w:rPr>
      </w:pPr>
      <w:r w:rsidRPr="00880B84">
        <w:rPr>
          <w:iCs/>
        </w:rPr>
        <w:t>2.1.1</w:t>
      </w:r>
      <w:r w:rsidRPr="00880B84">
        <w:rPr>
          <w:iCs/>
        </w:rPr>
        <w:tab/>
        <w:t>Töömaailma taotlejale:</w:t>
      </w:r>
    </w:p>
    <w:p w14:paraId="3D077442" w14:textId="77777777" w:rsidR="0007121E" w:rsidRPr="00880B84" w:rsidRDefault="0007121E" w:rsidP="006D73BA">
      <w:pPr>
        <w:pStyle w:val="Heading4"/>
        <w:jc w:val="both"/>
        <w:rPr>
          <w:b w:val="0"/>
          <w:bCs w:val="0"/>
        </w:rPr>
      </w:pPr>
      <w:bookmarkStart w:id="4" w:name="_Hlk499288213"/>
      <w:r w:rsidRPr="00880B84">
        <w:rPr>
          <w:b w:val="0"/>
          <w:bCs w:val="0"/>
        </w:rPr>
        <w:t>Kutse ……………….. taotlemise eeltingimused on:</w:t>
      </w:r>
    </w:p>
    <w:p w14:paraId="6203E124" w14:textId="77777777" w:rsidR="0007121E" w:rsidRPr="00880B84" w:rsidRDefault="0007121E" w:rsidP="006D73BA">
      <w:pPr>
        <w:pStyle w:val="ListParagraph"/>
        <w:numPr>
          <w:ilvl w:val="0"/>
          <w:numId w:val="7"/>
        </w:numPr>
        <w:tabs>
          <w:tab w:val="left" w:pos="426"/>
        </w:tabs>
        <w:contextualSpacing w:val="0"/>
        <w:jc w:val="both"/>
      </w:pPr>
      <w:r w:rsidRPr="00880B84">
        <w:t>……….</w:t>
      </w:r>
    </w:p>
    <w:p w14:paraId="49E10D3A" w14:textId="77777777" w:rsidR="0007121E" w:rsidRPr="00880B84" w:rsidRDefault="0007121E" w:rsidP="006D73BA">
      <w:pPr>
        <w:pStyle w:val="ListParagraph"/>
        <w:numPr>
          <w:ilvl w:val="0"/>
          <w:numId w:val="7"/>
        </w:numPr>
        <w:tabs>
          <w:tab w:val="left" w:pos="426"/>
        </w:tabs>
        <w:contextualSpacing w:val="0"/>
        <w:jc w:val="both"/>
      </w:pPr>
      <w:r w:rsidRPr="00880B84">
        <w:t>……….</w:t>
      </w:r>
    </w:p>
    <w:p w14:paraId="59C53A2B" w14:textId="77777777" w:rsidR="0007121E" w:rsidRPr="00880B84" w:rsidRDefault="0007121E" w:rsidP="006D73BA">
      <w:pPr>
        <w:pStyle w:val="Heading4"/>
        <w:jc w:val="both"/>
        <w:rPr>
          <w:b w:val="0"/>
          <w:bCs w:val="0"/>
        </w:rPr>
      </w:pPr>
      <w:r w:rsidRPr="00880B84">
        <w:rPr>
          <w:b w:val="0"/>
          <w:bCs w:val="0"/>
        </w:rPr>
        <w:t>Kutse ……………….. taotlemise eeltingimused on:</w:t>
      </w:r>
    </w:p>
    <w:p w14:paraId="7E556420" w14:textId="77777777" w:rsidR="0007121E" w:rsidRPr="00880B84" w:rsidRDefault="0007121E" w:rsidP="006D73BA">
      <w:pPr>
        <w:pStyle w:val="BodyText3"/>
        <w:numPr>
          <w:ilvl w:val="0"/>
          <w:numId w:val="8"/>
        </w:numPr>
        <w:tabs>
          <w:tab w:val="left" w:pos="-1985"/>
          <w:tab w:val="left" w:pos="0"/>
          <w:tab w:val="left" w:pos="1080"/>
        </w:tabs>
        <w:rPr>
          <w:b w:val="0"/>
          <w:color w:val="auto"/>
        </w:rPr>
      </w:pPr>
      <w:r w:rsidRPr="00880B84">
        <w:rPr>
          <w:b w:val="0"/>
          <w:color w:val="auto"/>
        </w:rPr>
        <w:t>……….</w:t>
      </w:r>
    </w:p>
    <w:p w14:paraId="2CEF1E08" w14:textId="77777777" w:rsidR="0007121E" w:rsidRPr="00880B84" w:rsidRDefault="0007121E" w:rsidP="006D73BA">
      <w:pPr>
        <w:pStyle w:val="BodyText3"/>
        <w:numPr>
          <w:ilvl w:val="0"/>
          <w:numId w:val="8"/>
        </w:numPr>
        <w:tabs>
          <w:tab w:val="left" w:pos="-1985"/>
          <w:tab w:val="left" w:pos="0"/>
          <w:tab w:val="left" w:pos="1080"/>
        </w:tabs>
        <w:rPr>
          <w:b w:val="0"/>
          <w:color w:val="auto"/>
        </w:rPr>
      </w:pPr>
      <w:r w:rsidRPr="00880B84">
        <w:rPr>
          <w:b w:val="0"/>
          <w:color w:val="auto"/>
        </w:rPr>
        <w:t>……….</w:t>
      </w:r>
    </w:p>
    <w:p w14:paraId="6C5FDCDD" w14:textId="77777777" w:rsidR="0007121E" w:rsidRPr="00880B84" w:rsidRDefault="0007121E" w:rsidP="006D73BA">
      <w:pPr>
        <w:pStyle w:val="Heading3"/>
      </w:pPr>
      <w:r w:rsidRPr="00880B84">
        <w:t>Kutseõppe tasemeõppe lõpetajale:</w:t>
      </w:r>
    </w:p>
    <w:p w14:paraId="34A900D3" w14:textId="77777777" w:rsidR="0007121E" w:rsidRPr="00880B84" w:rsidRDefault="0007121E" w:rsidP="006D73BA">
      <w:pPr>
        <w:jc w:val="both"/>
      </w:pPr>
      <w:r w:rsidRPr="00880B84">
        <w:t>Vastava eriala tasemeõppe õppekava läbimine.</w:t>
      </w:r>
    </w:p>
    <w:bookmarkEnd w:id="4"/>
    <w:p w14:paraId="52915FEA" w14:textId="77777777" w:rsidR="0007121E" w:rsidRPr="00880B84" w:rsidRDefault="0007121E" w:rsidP="006D73BA">
      <w:pPr>
        <w:pStyle w:val="Heading2"/>
        <w:spacing w:before="120"/>
        <w:ind w:left="0" w:firstLine="0"/>
        <w:jc w:val="both"/>
      </w:pPr>
      <w:r w:rsidRPr="00880B84">
        <w:t>Kutse taotlemiseks esitatavad dokumendid:</w:t>
      </w:r>
    </w:p>
    <w:p w14:paraId="2E1975DE" w14:textId="77777777" w:rsidR="0007121E" w:rsidRPr="00880B84" w:rsidRDefault="0007121E" w:rsidP="006D73BA">
      <w:pPr>
        <w:pStyle w:val="ListParagraph"/>
        <w:tabs>
          <w:tab w:val="left" w:pos="426"/>
        </w:tabs>
        <w:ind w:left="0"/>
        <w:contextualSpacing w:val="0"/>
        <w:jc w:val="both"/>
        <w:rPr>
          <w:i/>
          <w:sz w:val="20"/>
          <w:szCs w:val="20"/>
        </w:rPr>
      </w:pPr>
      <w:r w:rsidRPr="00880B84">
        <w:rPr>
          <w:i/>
          <w:sz w:val="20"/>
          <w:szCs w:val="20"/>
        </w:rPr>
        <w:t>Vajadusel loetleda iga kutse kohta eraldi</w:t>
      </w:r>
    </w:p>
    <w:p w14:paraId="21CB81AB" w14:textId="77777777" w:rsidR="0007121E" w:rsidRPr="00880B84" w:rsidRDefault="0007121E" w:rsidP="006D73BA">
      <w:pPr>
        <w:tabs>
          <w:tab w:val="left" w:pos="426"/>
        </w:tabs>
        <w:jc w:val="both"/>
        <w:rPr>
          <w:iCs/>
        </w:rPr>
      </w:pPr>
      <w:r w:rsidRPr="00880B84">
        <w:rPr>
          <w:iCs/>
        </w:rPr>
        <w:t>2.2.1</w:t>
      </w:r>
      <w:r w:rsidRPr="00880B84">
        <w:rPr>
          <w:iCs/>
        </w:rPr>
        <w:tab/>
        <w:t>Töömaailma taotlejale:</w:t>
      </w:r>
    </w:p>
    <w:p w14:paraId="173A438E" w14:textId="77777777" w:rsidR="0007121E" w:rsidRPr="00880B84" w:rsidRDefault="0007121E" w:rsidP="006D73BA">
      <w:pPr>
        <w:pStyle w:val="ListParagraph"/>
        <w:numPr>
          <w:ilvl w:val="0"/>
          <w:numId w:val="10"/>
        </w:numPr>
        <w:tabs>
          <w:tab w:val="left" w:pos="426"/>
        </w:tabs>
        <w:contextualSpacing w:val="0"/>
        <w:jc w:val="both"/>
      </w:pPr>
      <w:r w:rsidRPr="00880B84">
        <w:t>……….</w:t>
      </w:r>
    </w:p>
    <w:p w14:paraId="313E6E89" w14:textId="77777777" w:rsidR="0007121E" w:rsidRPr="00880B84" w:rsidRDefault="0007121E" w:rsidP="006D73BA">
      <w:pPr>
        <w:pStyle w:val="ListParagraph"/>
        <w:numPr>
          <w:ilvl w:val="0"/>
          <w:numId w:val="10"/>
        </w:numPr>
        <w:tabs>
          <w:tab w:val="left" w:pos="426"/>
        </w:tabs>
        <w:contextualSpacing w:val="0"/>
        <w:jc w:val="both"/>
      </w:pPr>
      <w:r w:rsidRPr="00880B84">
        <w:t>……….</w:t>
      </w:r>
    </w:p>
    <w:p w14:paraId="43235057" w14:textId="77777777" w:rsidR="0007121E" w:rsidRPr="00880B84" w:rsidRDefault="0007121E" w:rsidP="006D73BA">
      <w:pPr>
        <w:pStyle w:val="ListParagraph"/>
        <w:numPr>
          <w:ilvl w:val="0"/>
          <w:numId w:val="10"/>
        </w:numPr>
        <w:tabs>
          <w:tab w:val="left" w:pos="426"/>
        </w:tabs>
        <w:contextualSpacing w:val="0"/>
        <w:jc w:val="both"/>
      </w:pPr>
      <w:r w:rsidRPr="00880B84">
        <w:t>……….</w:t>
      </w:r>
    </w:p>
    <w:p w14:paraId="3CCDF9E4" w14:textId="77777777" w:rsidR="0007121E" w:rsidRPr="00880B84" w:rsidRDefault="0007121E" w:rsidP="006D73BA">
      <w:pPr>
        <w:tabs>
          <w:tab w:val="left" w:pos="426"/>
        </w:tabs>
        <w:jc w:val="both"/>
      </w:pPr>
      <w:r w:rsidRPr="00880B84">
        <w:t>2.2.2</w:t>
      </w:r>
      <w:r w:rsidRPr="00880B84">
        <w:tab/>
        <w:t>Kutseõppe tasemeõppe lõpetajale:</w:t>
      </w:r>
    </w:p>
    <w:p w14:paraId="44F862F7" w14:textId="77777777" w:rsidR="0007121E" w:rsidRPr="008B405F" w:rsidRDefault="0007121E" w:rsidP="006D73BA">
      <w:pPr>
        <w:tabs>
          <w:tab w:val="left" w:pos="426"/>
        </w:tabs>
        <w:jc w:val="both"/>
      </w:pPr>
      <w:r w:rsidRPr="008B405F">
        <w:lastRenderedPageBreak/>
        <w:t xml:space="preserve">Kutseõppe tasemeõppe lõpetajate kutseeksamile registreerimiseks esitab kutseõppeasutus koondavalduse vastava eriala tasemeõppe õppekava läbinud õppurite kohta. </w:t>
      </w:r>
    </w:p>
    <w:p w14:paraId="07F96DFB" w14:textId="77777777" w:rsidR="0007121E" w:rsidRPr="008B405F" w:rsidRDefault="0007121E" w:rsidP="006D73BA">
      <w:pPr>
        <w:tabs>
          <w:tab w:val="left" w:pos="426"/>
        </w:tabs>
        <w:jc w:val="both"/>
      </w:pPr>
      <w:r w:rsidRPr="008B405F">
        <w:t>Koondavaldusel märgitakse vähemalt järgmised andmed: taotleja ees- ja perenimi, isikukood, eksami keel, isikuandmete avalikustamine kutseregistris (ei/jah), paberkandjal kutsetunnistus (ei/jah), e-posti aadress, taotleja allkiri.</w:t>
      </w:r>
    </w:p>
    <w:p w14:paraId="06FCFE45" w14:textId="77777777" w:rsidR="0007121E" w:rsidRPr="008B405F" w:rsidRDefault="0007121E" w:rsidP="006D73BA">
      <w:pPr>
        <w:pStyle w:val="Heading2"/>
        <w:spacing w:before="120"/>
        <w:ind w:left="0" w:firstLine="0"/>
        <w:jc w:val="both"/>
      </w:pPr>
      <w:r w:rsidRPr="008B405F">
        <w:t>Kutse taastõendamise eeltingimused:</w:t>
      </w:r>
    </w:p>
    <w:p w14:paraId="32B34681" w14:textId="77777777" w:rsidR="0007121E" w:rsidRPr="00880B84" w:rsidRDefault="0007121E" w:rsidP="006D73BA">
      <w:pPr>
        <w:jc w:val="both"/>
        <w:rPr>
          <w:i/>
          <w:sz w:val="20"/>
          <w:szCs w:val="20"/>
        </w:rPr>
      </w:pPr>
      <w:r w:rsidRPr="00880B84">
        <w:rPr>
          <w:i/>
          <w:sz w:val="20"/>
          <w:szCs w:val="20"/>
        </w:rPr>
        <w:t>Vajadusel loetleda iga kutse kohta eraldi</w:t>
      </w:r>
    </w:p>
    <w:p w14:paraId="22A48780" w14:textId="77777777" w:rsidR="0007121E" w:rsidRPr="00880B84" w:rsidRDefault="0007121E" w:rsidP="006D73BA">
      <w:pPr>
        <w:pStyle w:val="Heading3"/>
      </w:pPr>
      <w:r w:rsidRPr="00880B84">
        <w:t>Kutse ……………….. taastõendamise eeltingimused on:</w:t>
      </w:r>
    </w:p>
    <w:p w14:paraId="1CEEFBAA" w14:textId="77777777" w:rsidR="0007121E" w:rsidRPr="00880B84" w:rsidRDefault="0007121E" w:rsidP="006D73BA">
      <w:pPr>
        <w:tabs>
          <w:tab w:val="left" w:pos="426"/>
        </w:tabs>
        <w:ind w:left="360"/>
        <w:jc w:val="both"/>
      </w:pPr>
      <w:r w:rsidRPr="00880B84">
        <w:t>a)</w:t>
      </w:r>
      <w:r w:rsidRPr="00880B84">
        <w:tab/>
        <w:t>……….</w:t>
      </w:r>
    </w:p>
    <w:p w14:paraId="17396B26" w14:textId="77777777" w:rsidR="0007121E" w:rsidRPr="00F911B2" w:rsidRDefault="0007121E" w:rsidP="006D73BA">
      <w:pPr>
        <w:tabs>
          <w:tab w:val="left" w:pos="426"/>
        </w:tabs>
        <w:ind w:left="360"/>
        <w:jc w:val="both"/>
      </w:pPr>
      <w:r w:rsidRPr="00880B84">
        <w:t>b)</w:t>
      </w:r>
      <w:r w:rsidRPr="00880B84">
        <w:tab/>
        <w:t>……….</w:t>
      </w:r>
    </w:p>
    <w:p w14:paraId="10D041BC" w14:textId="77777777" w:rsidR="0007121E" w:rsidRPr="00F911B2" w:rsidRDefault="0007121E" w:rsidP="006D73BA">
      <w:pPr>
        <w:pStyle w:val="Heading3"/>
      </w:pPr>
      <w:r w:rsidRPr="00F911B2">
        <w:t>Kutse ……………….. taastõendamise eeltingimused on:</w:t>
      </w:r>
    </w:p>
    <w:p w14:paraId="2076943A" w14:textId="77777777" w:rsidR="0007121E" w:rsidRPr="00F911B2" w:rsidRDefault="0007121E" w:rsidP="006D73BA">
      <w:pPr>
        <w:tabs>
          <w:tab w:val="left" w:pos="426"/>
        </w:tabs>
        <w:ind w:left="360"/>
        <w:jc w:val="both"/>
      </w:pPr>
      <w:r w:rsidRPr="00F911B2">
        <w:t>a)</w:t>
      </w:r>
      <w:r w:rsidRPr="00F911B2">
        <w:tab/>
        <w:t>……….</w:t>
      </w:r>
    </w:p>
    <w:p w14:paraId="00214120" w14:textId="77777777" w:rsidR="0007121E" w:rsidRPr="008310E0" w:rsidRDefault="0007121E" w:rsidP="006D73BA">
      <w:pPr>
        <w:tabs>
          <w:tab w:val="left" w:pos="426"/>
        </w:tabs>
        <w:ind w:left="360"/>
        <w:jc w:val="both"/>
      </w:pPr>
      <w:r w:rsidRPr="00F911B2">
        <w:t>b)</w:t>
      </w:r>
      <w:r w:rsidRPr="00F911B2">
        <w:tab/>
        <w:t>……….</w:t>
      </w:r>
    </w:p>
    <w:p w14:paraId="16CC2A1D" w14:textId="77777777" w:rsidR="0007121E" w:rsidRPr="002A08A0" w:rsidRDefault="0007121E" w:rsidP="006D73BA">
      <w:pPr>
        <w:pStyle w:val="Heading2"/>
        <w:spacing w:before="120"/>
        <w:ind w:left="0" w:firstLine="0"/>
        <w:jc w:val="both"/>
      </w:pPr>
      <w:r w:rsidRPr="002A08A0">
        <w:t>Kutse taastõendamiseks esitatavad dokumendid:</w:t>
      </w:r>
    </w:p>
    <w:p w14:paraId="31786AF0" w14:textId="77777777" w:rsidR="0007121E" w:rsidRPr="002A08A0" w:rsidRDefault="0007121E" w:rsidP="006D73BA">
      <w:pPr>
        <w:pStyle w:val="BodyText3"/>
        <w:tabs>
          <w:tab w:val="left" w:pos="-2410"/>
          <w:tab w:val="left" w:pos="0"/>
        </w:tabs>
        <w:rPr>
          <w:b w:val="0"/>
          <w:i/>
          <w:color w:val="auto"/>
          <w:sz w:val="20"/>
          <w:szCs w:val="20"/>
        </w:rPr>
      </w:pPr>
      <w:bookmarkStart w:id="5" w:name="_Hlk37778632"/>
      <w:r w:rsidRPr="002A08A0">
        <w:rPr>
          <w:b w:val="0"/>
          <w:i/>
          <w:color w:val="auto"/>
          <w:sz w:val="20"/>
          <w:szCs w:val="20"/>
        </w:rPr>
        <w:t>Vajadusel loetleda iga kutse kohta eraldi</w:t>
      </w:r>
    </w:p>
    <w:bookmarkEnd w:id="5"/>
    <w:p w14:paraId="73AB3735" w14:textId="77777777" w:rsidR="0007121E" w:rsidRPr="002A08A0" w:rsidRDefault="0007121E" w:rsidP="006D73BA">
      <w:pPr>
        <w:pStyle w:val="BodyText3"/>
        <w:numPr>
          <w:ilvl w:val="0"/>
          <w:numId w:val="9"/>
        </w:numPr>
        <w:tabs>
          <w:tab w:val="left" w:pos="-2410"/>
        </w:tabs>
        <w:rPr>
          <w:b w:val="0"/>
          <w:i/>
          <w:color w:val="auto"/>
        </w:rPr>
      </w:pPr>
      <w:r w:rsidRPr="002A08A0">
        <w:rPr>
          <w:b w:val="0"/>
          <w:i/>
          <w:color w:val="auto"/>
        </w:rPr>
        <w:t>taotlus</w:t>
      </w:r>
    </w:p>
    <w:p w14:paraId="0A71DD40" w14:textId="77777777" w:rsidR="0007121E" w:rsidRPr="002A08A0" w:rsidRDefault="0007121E" w:rsidP="006D73BA">
      <w:pPr>
        <w:pStyle w:val="BodyText3"/>
        <w:numPr>
          <w:ilvl w:val="0"/>
          <w:numId w:val="9"/>
        </w:numPr>
        <w:tabs>
          <w:tab w:val="left" w:pos="-2410"/>
        </w:tabs>
        <w:rPr>
          <w:b w:val="0"/>
          <w:color w:val="auto"/>
        </w:rPr>
      </w:pPr>
      <w:r w:rsidRPr="002A08A0">
        <w:rPr>
          <w:b w:val="0"/>
          <w:color w:val="auto"/>
        </w:rPr>
        <w:t>……….</w:t>
      </w:r>
    </w:p>
    <w:p w14:paraId="4D41906E" w14:textId="77777777" w:rsidR="0007121E" w:rsidRPr="002A08A0" w:rsidRDefault="0007121E" w:rsidP="006D73BA">
      <w:pPr>
        <w:pStyle w:val="BodyText3"/>
        <w:numPr>
          <w:ilvl w:val="0"/>
          <w:numId w:val="9"/>
        </w:numPr>
        <w:tabs>
          <w:tab w:val="left" w:pos="-2410"/>
        </w:tabs>
        <w:rPr>
          <w:b w:val="0"/>
          <w:color w:val="auto"/>
        </w:rPr>
      </w:pPr>
      <w:r w:rsidRPr="002A08A0">
        <w:rPr>
          <w:b w:val="0"/>
          <w:color w:val="auto"/>
        </w:rPr>
        <w:t>……….</w:t>
      </w:r>
    </w:p>
    <w:p w14:paraId="674E9DEE" w14:textId="77777777" w:rsidR="0007121E" w:rsidRPr="002A08A0" w:rsidRDefault="0007121E" w:rsidP="006D73BA">
      <w:pPr>
        <w:pStyle w:val="Heading2"/>
        <w:spacing w:before="120"/>
        <w:ind w:left="0" w:firstLine="0"/>
        <w:jc w:val="both"/>
      </w:pPr>
      <w:r w:rsidRPr="002A08A0">
        <w:t>Varasemate õpingute ja töökogemuse arvestamine</w:t>
      </w:r>
    </w:p>
    <w:p w14:paraId="4E0DA8B9" w14:textId="77777777" w:rsidR="0007121E" w:rsidRPr="002A08A0" w:rsidRDefault="0007121E" w:rsidP="006D73BA">
      <w:pPr>
        <w:pStyle w:val="ListParagraph"/>
        <w:tabs>
          <w:tab w:val="left" w:pos="426"/>
        </w:tabs>
        <w:ind w:left="0"/>
        <w:contextualSpacing w:val="0"/>
        <w:jc w:val="both"/>
      </w:pPr>
      <w:r w:rsidRPr="002A08A0">
        <w:t xml:space="preserve">Kutsekomisjon võib kutse andmise eeltingimustele vastavuse arvestamisel ja kompetentside hindamisel rakendada varasemate õpingute ja töökogemuse arvestamise (VÕTA) põhimõtteid. </w:t>
      </w:r>
    </w:p>
    <w:p w14:paraId="7D0EA54F" w14:textId="77777777" w:rsidR="0007121E" w:rsidRDefault="0007121E" w:rsidP="006D73BA">
      <w:pPr>
        <w:pStyle w:val="ListParagraph"/>
        <w:tabs>
          <w:tab w:val="left" w:pos="426"/>
        </w:tabs>
        <w:ind w:left="0"/>
        <w:contextualSpacing w:val="0"/>
        <w:jc w:val="both"/>
        <w:rPr>
          <w:i/>
          <w:sz w:val="20"/>
          <w:szCs w:val="20"/>
        </w:rPr>
      </w:pPr>
      <w:r>
        <w:rPr>
          <w:i/>
          <w:sz w:val="20"/>
          <w:szCs w:val="20"/>
        </w:rPr>
        <w:t>VÕTA korra olemasolul viidata selle asukohale kutse andja kodulehel.</w:t>
      </w:r>
    </w:p>
    <w:p w14:paraId="35E8BB51" w14:textId="77777777" w:rsidR="0007121E" w:rsidRDefault="0007121E" w:rsidP="006D73BA">
      <w:pPr>
        <w:pStyle w:val="ListParagraph"/>
        <w:tabs>
          <w:tab w:val="left" w:pos="426"/>
        </w:tabs>
        <w:ind w:left="0"/>
        <w:contextualSpacing w:val="0"/>
        <w:jc w:val="both"/>
        <w:rPr>
          <w:iCs/>
        </w:rPr>
      </w:pPr>
    </w:p>
    <w:p w14:paraId="3C66D064" w14:textId="77777777" w:rsidR="0007121E" w:rsidRPr="00D9241A" w:rsidRDefault="0007121E" w:rsidP="006D73BA">
      <w:pPr>
        <w:pStyle w:val="ListParagraph"/>
        <w:tabs>
          <w:tab w:val="left" w:pos="426"/>
        </w:tabs>
        <w:ind w:left="0"/>
        <w:contextualSpacing w:val="0"/>
        <w:jc w:val="both"/>
        <w:rPr>
          <w:iCs/>
        </w:rPr>
      </w:pPr>
      <w:r>
        <w:rPr>
          <w:iCs/>
        </w:rPr>
        <w:t>2. 6</w:t>
      </w:r>
      <w:r>
        <w:rPr>
          <w:iCs/>
        </w:rPr>
        <w:tab/>
      </w:r>
      <w:r>
        <w:rPr>
          <w:iCs/>
        </w:rPr>
        <w:tab/>
      </w:r>
      <w:r w:rsidRPr="00D9241A">
        <w:rPr>
          <w:iCs/>
        </w:rPr>
        <w:t xml:space="preserve">Kõik kutse taotlemiseks vajalikud dokumendivormid ning nõuded dokumentidele on leitavad kutse andja veebilehel </w:t>
      </w:r>
      <w:r>
        <w:rPr>
          <w:i/>
        </w:rPr>
        <w:t>(viide veebilehele)</w:t>
      </w:r>
      <w:r w:rsidRPr="00D9241A">
        <w:rPr>
          <w:i/>
        </w:rPr>
        <w:t>.</w:t>
      </w:r>
    </w:p>
    <w:p w14:paraId="4F556E7C" w14:textId="77777777" w:rsidR="0007121E" w:rsidRPr="002A08A0" w:rsidRDefault="0007121E" w:rsidP="006D73BA">
      <w:pPr>
        <w:pStyle w:val="Heading2"/>
        <w:numPr>
          <w:ilvl w:val="0"/>
          <w:numId w:val="0"/>
        </w:numPr>
        <w:spacing w:before="120"/>
        <w:jc w:val="both"/>
      </w:pPr>
      <w:r>
        <w:t>2.7</w:t>
      </w:r>
      <w:r>
        <w:tab/>
      </w:r>
      <w:r w:rsidRPr="002A08A0">
        <w:t xml:space="preserve">Taotlemise dokumente menetletakse haldusmenetluse seaduse sätetele vastavalt, arvestades korrast tulenevaid </w:t>
      </w:r>
      <w:r w:rsidRPr="00F911B2">
        <w:t>täpsustavaid tingimusi.</w:t>
      </w:r>
    </w:p>
    <w:p w14:paraId="1B7C62F1" w14:textId="77777777" w:rsidR="0007121E" w:rsidRPr="002A08A0" w:rsidRDefault="0007121E" w:rsidP="006D73BA">
      <w:pPr>
        <w:pStyle w:val="ListParagraph"/>
        <w:tabs>
          <w:tab w:val="left" w:pos="-2268"/>
          <w:tab w:val="left" w:pos="426"/>
        </w:tabs>
        <w:ind w:left="0"/>
        <w:contextualSpacing w:val="0"/>
        <w:jc w:val="both"/>
      </w:pPr>
    </w:p>
    <w:p w14:paraId="0DEC6D81" w14:textId="77777777" w:rsidR="0007121E" w:rsidRPr="00973B65" w:rsidRDefault="0007121E" w:rsidP="006D73BA">
      <w:pPr>
        <w:pStyle w:val="Heading1"/>
        <w:numPr>
          <w:ilvl w:val="0"/>
          <w:numId w:val="0"/>
        </w:numPr>
        <w:ind w:left="432" w:hanging="432"/>
      </w:pPr>
      <w:bookmarkStart w:id="6" w:name="_Toc419121504"/>
      <w:r w:rsidRPr="00973B65">
        <w:t>3.</w:t>
      </w:r>
      <w:r w:rsidRPr="00973B65">
        <w:tab/>
        <w:t>TAOTLEJA KOMPETENTSUSE HINDAMINE</w:t>
      </w:r>
      <w:bookmarkEnd w:id="6"/>
    </w:p>
    <w:p w14:paraId="423198F2" w14:textId="77777777" w:rsidR="0007121E" w:rsidRPr="00973B65" w:rsidRDefault="0007121E" w:rsidP="006D73BA">
      <w:pPr>
        <w:pStyle w:val="ListParagraph"/>
        <w:tabs>
          <w:tab w:val="left" w:pos="426"/>
        </w:tabs>
        <w:spacing w:before="120"/>
        <w:ind w:left="0"/>
        <w:contextualSpacing w:val="0"/>
        <w:jc w:val="both"/>
        <w:rPr>
          <w:i/>
          <w:sz w:val="20"/>
          <w:szCs w:val="20"/>
        </w:rPr>
      </w:pPr>
      <w:r w:rsidRPr="00973B65">
        <w:rPr>
          <w:i/>
          <w:sz w:val="20"/>
          <w:szCs w:val="20"/>
        </w:rPr>
        <w:t>Vajadusel loetletakse iga konkreetse kutse taotlemise ja taastõendamise hindamise meetodid.</w:t>
      </w:r>
    </w:p>
    <w:p w14:paraId="03C566C4" w14:textId="77777777" w:rsidR="0007121E" w:rsidRPr="00973B65" w:rsidRDefault="0007121E" w:rsidP="006D73BA">
      <w:pPr>
        <w:pStyle w:val="Heading2"/>
        <w:numPr>
          <w:ilvl w:val="0"/>
          <w:numId w:val="0"/>
        </w:numPr>
        <w:spacing w:before="120"/>
        <w:jc w:val="both"/>
      </w:pPr>
      <w:r w:rsidRPr="00973B65">
        <w:t>3.1</w:t>
      </w:r>
      <w:r w:rsidRPr="00973B65">
        <w:tab/>
        <w:t>Kompetentsuse hindamise meetodid kutse esmataotlemisel:</w:t>
      </w:r>
    </w:p>
    <w:p w14:paraId="4704216E" w14:textId="77777777" w:rsidR="0007121E" w:rsidRPr="0039297A" w:rsidRDefault="0007121E" w:rsidP="006D73BA">
      <w:pPr>
        <w:jc w:val="both"/>
        <w:rPr>
          <w:i/>
          <w:iCs/>
          <w:sz w:val="20"/>
          <w:szCs w:val="20"/>
        </w:rPr>
      </w:pPr>
      <w:r w:rsidRPr="00973B65">
        <w:rPr>
          <w:i/>
          <w:iCs/>
          <w:sz w:val="20"/>
          <w:szCs w:val="20"/>
        </w:rPr>
        <w:t>Kui hindamismeetodid on esmataotlemisel ja taastõendamisel samad, siis selle punkti pealkirjaks: „Kompetentsuse hindamise meetodid kutse esmataotlemisel ja taastõendamisel“.</w:t>
      </w:r>
    </w:p>
    <w:p w14:paraId="04834398" w14:textId="77777777" w:rsidR="0007121E" w:rsidRDefault="0007121E" w:rsidP="006D73BA">
      <w:pPr>
        <w:pStyle w:val="ListParagraph"/>
        <w:ind w:left="0"/>
        <w:contextualSpacing w:val="0"/>
        <w:jc w:val="both"/>
        <w:rPr>
          <w:i/>
          <w:sz w:val="20"/>
          <w:szCs w:val="20"/>
        </w:rPr>
      </w:pPr>
    </w:p>
    <w:p w14:paraId="3AC4CE66" w14:textId="77777777" w:rsidR="0007121E" w:rsidRPr="002A08A0" w:rsidRDefault="0007121E" w:rsidP="006D73BA">
      <w:pPr>
        <w:pStyle w:val="ListParagraph"/>
        <w:ind w:left="0"/>
        <w:contextualSpacing w:val="0"/>
        <w:jc w:val="both"/>
        <w:rPr>
          <w:b/>
          <w:i/>
          <w:sz w:val="20"/>
          <w:szCs w:val="20"/>
        </w:rPr>
      </w:pPr>
      <w:r w:rsidRPr="002A08A0">
        <w:rPr>
          <w:i/>
          <w:sz w:val="20"/>
          <w:szCs w:val="20"/>
        </w:rPr>
        <w:t>Kirjeldatakse iga konkreetse kutse tõendamise viise ehk hindamismeetodeid, mis annavad piisavalt</w:t>
      </w:r>
      <w:r w:rsidRPr="002A08A0">
        <w:rPr>
          <w:b/>
          <w:i/>
          <w:sz w:val="20"/>
          <w:szCs w:val="20"/>
        </w:rPr>
        <w:t xml:space="preserve"> </w:t>
      </w:r>
      <w:r w:rsidRPr="002A08A0">
        <w:rPr>
          <w:i/>
          <w:sz w:val="20"/>
          <w:szCs w:val="20"/>
        </w:rPr>
        <w:t>tõendeid taotleja kompetentsuse hindamiseks.</w:t>
      </w:r>
    </w:p>
    <w:p w14:paraId="2B2EF107" w14:textId="77777777" w:rsidR="0007121E" w:rsidRPr="002A08A0" w:rsidRDefault="0007121E" w:rsidP="006D73BA">
      <w:pPr>
        <w:pStyle w:val="ListParagraph"/>
        <w:ind w:left="0"/>
        <w:contextualSpacing w:val="0"/>
        <w:jc w:val="both"/>
        <w:rPr>
          <w:i/>
          <w:sz w:val="20"/>
          <w:szCs w:val="20"/>
        </w:rPr>
      </w:pPr>
      <w:r w:rsidRPr="002A08A0">
        <w:rPr>
          <w:i/>
          <w:sz w:val="20"/>
          <w:szCs w:val="20"/>
        </w:rPr>
        <w:t>Näiteks:</w:t>
      </w:r>
    </w:p>
    <w:p w14:paraId="42E16871" w14:textId="77777777" w:rsidR="0007121E" w:rsidRPr="002A08A0" w:rsidRDefault="0007121E" w:rsidP="006D73BA">
      <w:pPr>
        <w:pStyle w:val="ListParagraph"/>
        <w:numPr>
          <w:ilvl w:val="0"/>
          <w:numId w:val="2"/>
        </w:numPr>
        <w:ind w:left="851" w:hanging="426"/>
        <w:contextualSpacing w:val="0"/>
        <w:jc w:val="both"/>
        <w:rPr>
          <w:i/>
          <w:sz w:val="20"/>
          <w:szCs w:val="20"/>
        </w:rPr>
      </w:pPr>
      <w:r w:rsidRPr="002A08A0">
        <w:rPr>
          <w:i/>
          <w:sz w:val="20"/>
          <w:szCs w:val="20"/>
        </w:rPr>
        <w:t xml:space="preserve">struktureeritud vaatlus töösituatsioonis (hindamine ettevalmistatud ankeedi vms alusel ja hiljem </w:t>
      </w:r>
      <w:r w:rsidRPr="00A511ED">
        <w:rPr>
          <w:i/>
          <w:sz w:val="20"/>
          <w:szCs w:val="20"/>
        </w:rPr>
        <w:t>vestlus taotlejaga),</w:t>
      </w:r>
    </w:p>
    <w:p w14:paraId="5C709B27" w14:textId="77777777" w:rsidR="0007121E" w:rsidRPr="002A08A0" w:rsidRDefault="0007121E" w:rsidP="006D73BA">
      <w:pPr>
        <w:pStyle w:val="ListParagraph"/>
        <w:numPr>
          <w:ilvl w:val="0"/>
          <w:numId w:val="2"/>
        </w:numPr>
        <w:ind w:left="851" w:hanging="426"/>
        <w:contextualSpacing w:val="0"/>
        <w:jc w:val="both"/>
        <w:rPr>
          <w:i/>
          <w:sz w:val="20"/>
          <w:szCs w:val="20"/>
        </w:rPr>
      </w:pPr>
      <w:r w:rsidRPr="002A08A0">
        <w:rPr>
          <w:i/>
          <w:sz w:val="20"/>
          <w:szCs w:val="20"/>
        </w:rPr>
        <w:t>tulemuse hindamine (töötulemuste esitamine tõendite abil),</w:t>
      </w:r>
    </w:p>
    <w:p w14:paraId="66FD1AC8" w14:textId="77777777" w:rsidR="0007121E" w:rsidRPr="002A08A0" w:rsidRDefault="0007121E" w:rsidP="006D73BA">
      <w:pPr>
        <w:pStyle w:val="ListParagraph"/>
        <w:numPr>
          <w:ilvl w:val="0"/>
          <w:numId w:val="4"/>
        </w:numPr>
        <w:ind w:left="851" w:hanging="426"/>
        <w:contextualSpacing w:val="0"/>
        <w:jc w:val="both"/>
        <w:rPr>
          <w:i/>
          <w:sz w:val="20"/>
          <w:szCs w:val="20"/>
        </w:rPr>
      </w:pPr>
      <w:r w:rsidRPr="002A08A0">
        <w:rPr>
          <w:i/>
          <w:sz w:val="20"/>
          <w:szCs w:val="20"/>
        </w:rPr>
        <w:t>intervjuu (protsessi ja tegevuste selgitamine, teadmiste ja arusaamade näitamine),</w:t>
      </w:r>
    </w:p>
    <w:p w14:paraId="16F94EEA" w14:textId="77777777" w:rsidR="0007121E" w:rsidRPr="002A08A0" w:rsidRDefault="0007121E" w:rsidP="006D73BA">
      <w:pPr>
        <w:pStyle w:val="ListParagraph"/>
        <w:numPr>
          <w:ilvl w:val="0"/>
          <w:numId w:val="4"/>
        </w:numPr>
        <w:ind w:left="851" w:hanging="426"/>
        <w:contextualSpacing w:val="0"/>
        <w:jc w:val="both"/>
        <w:rPr>
          <w:i/>
          <w:sz w:val="20"/>
          <w:szCs w:val="20"/>
        </w:rPr>
      </w:pPr>
      <w:r w:rsidRPr="002A08A0">
        <w:rPr>
          <w:i/>
          <w:sz w:val="20"/>
          <w:szCs w:val="20"/>
        </w:rPr>
        <w:t>kirjalik ülesanne või test,</w:t>
      </w:r>
    </w:p>
    <w:p w14:paraId="75551BD4" w14:textId="77777777" w:rsidR="0007121E" w:rsidRPr="002A08A0" w:rsidRDefault="0007121E" w:rsidP="006D73BA">
      <w:pPr>
        <w:pStyle w:val="ListParagraph"/>
        <w:numPr>
          <w:ilvl w:val="0"/>
          <w:numId w:val="4"/>
        </w:numPr>
        <w:ind w:left="851" w:hanging="426"/>
        <w:contextualSpacing w:val="0"/>
        <w:jc w:val="both"/>
        <w:rPr>
          <w:i/>
          <w:sz w:val="20"/>
          <w:szCs w:val="20"/>
        </w:rPr>
      </w:pPr>
      <w:r w:rsidRPr="002A08A0">
        <w:rPr>
          <w:i/>
          <w:sz w:val="20"/>
          <w:szCs w:val="20"/>
        </w:rPr>
        <w:t>proovitöö,</w:t>
      </w:r>
    </w:p>
    <w:p w14:paraId="5D199664" w14:textId="77777777" w:rsidR="0007121E" w:rsidRPr="002A08A0" w:rsidRDefault="0007121E" w:rsidP="006D73BA">
      <w:pPr>
        <w:pStyle w:val="ListParagraph"/>
        <w:numPr>
          <w:ilvl w:val="0"/>
          <w:numId w:val="4"/>
        </w:numPr>
        <w:ind w:left="851" w:hanging="426"/>
        <w:contextualSpacing w:val="0"/>
        <w:jc w:val="both"/>
        <w:rPr>
          <w:i/>
          <w:sz w:val="20"/>
          <w:szCs w:val="20"/>
        </w:rPr>
      </w:pPr>
      <w:r w:rsidRPr="002A08A0">
        <w:rPr>
          <w:i/>
          <w:sz w:val="20"/>
          <w:szCs w:val="20"/>
        </w:rPr>
        <w:t>eneseanalüüs,</w:t>
      </w:r>
    </w:p>
    <w:p w14:paraId="39AB5644" w14:textId="77777777" w:rsidR="0007121E" w:rsidRPr="002A08A0" w:rsidRDefault="0007121E" w:rsidP="006D73BA">
      <w:pPr>
        <w:pStyle w:val="ListParagraph"/>
        <w:numPr>
          <w:ilvl w:val="0"/>
          <w:numId w:val="4"/>
        </w:numPr>
        <w:ind w:left="851" w:hanging="426"/>
        <w:contextualSpacing w:val="0"/>
        <w:jc w:val="both"/>
        <w:rPr>
          <w:i/>
          <w:sz w:val="20"/>
          <w:szCs w:val="20"/>
        </w:rPr>
      </w:pPr>
      <w:r w:rsidRPr="002A08A0">
        <w:rPr>
          <w:i/>
          <w:sz w:val="20"/>
          <w:szCs w:val="20"/>
        </w:rPr>
        <w:t>simulatsioon (spetsiifilist reaalset olukorda jäljendav ülesanne),</w:t>
      </w:r>
    </w:p>
    <w:p w14:paraId="7D1943AB" w14:textId="77777777" w:rsidR="0007121E" w:rsidRPr="002A08A0" w:rsidRDefault="0007121E" w:rsidP="006D73BA">
      <w:pPr>
        <w:pStyle w:val="ListParagraph"/>
        <w:numPr>
          <w:ilvl w:val="0"/>
          <w:numId w:val="4"/>
        </w:numPr>
        <w:ind w:left="851" w:hanging="426"/>
        <w:contextualSpacing w:val="0"/>
        <w:jc w:val="both"/>
        <w:rPr>
          <w:i/>
          <w:sz w:val="20"/>
          <w:szCs w:val="20"/>
        </w:rPr>
      </w:pPr>
      <w:r w:rsidRPr="002A08A0">
        <w:rPr>
          <w:i/>
          <w:sz w:val="20"/>
          <w:szCs w:val="20"/>
        </w:rPr>
        <w:t>juhtumiuuring,</w:t>
      </w:r>
    </w:p>
    <w:p w14:paraId="4D45F693" w14:textId="77777777" w:rsidR="0007121E" w:rsidRPr="002A08A0" w:rsidRDefault="0007121E" w:rsidP="006D73BA">
      <w:pPr>
        <w:pStyle w:val="ListParagraph"/>
        <w:numPr>
          <w:ilvl w:val="0"/>
          <w:numId w:val="4"/>
        </w:numPr>
        <w:ind w:left="851" w:hanging="426"/>
        <w:contextualSpacing w:val="0"/>
        <w:jc w:val="both"/>
        <w:rPr>
          <w:i/>
          <w:sz w:val="20"/>
          <w:szCs w:val="20"/>
        </w:rPr>
      </w:pPr>
      <w:r w:rsidRPr="002A08A0">
        <w:rPr>
          <w:i/>
          <w:sz w:val="20"/>
          <w:szCs w:val="20"/>
        </w:rPr>
        <w:t>rollimäng,</w:t>
      </w:r>
    </w:p>
    <w:p w14:paraId="10113E32" w14:textId="77777777" w:rsidR="0007121E" w:rsidRDefault="0007121E" w:rsidP="006D73BA">
      <w:pPr>
        <w:pStyle w:val="ListParagraph"/>
        <w:numPr>
          <w:ilvl w:val="0"/>
          <w:numId w:val="4"/>
        </w:numPr>
        <w:ind w:left="851" w:hanging="426"/>
        <w:contextualSpacing w:val="0"/>
        <w:jc w:val="both"/>
        <w:rPr>
          <w:i/>
          <w:sz w:val="20"/>
          <w:szCs w:val="20"/>
        </w:rPr>
      </w:pPr>
      <w:r w:rsidRPr="002A08A0">
        <w:rPr>
          <w:i/>
          <w:sz w:val="20"/>
          <w:szCs w:val="20"/>
        </w:rPr>
        <w:t>töösoorituse video- ja fotograafilised tõendid,</w:t>
      </w:r>
    </w:p>
    <w:p w14:paraId="008BC103" w14:textId="77777777" w:rsidR="0007121E" w:rsidRPr="007E3FF9" w:rsidRDefault="0007121E" w:rsidP="006D73BA">
      <w:pPr>
        <w:pStyle w:val="ListParagraph"/>
        <w:numPr>
          <w:ilvl w:val="0"/>
          <w:numId w:val="4"/>
        </w:numPr>
        <w:ind w:left="851" w:hanging="426"/>
        <w:contextualSpacing w:val="0"/>
        <w:jc w:val="both"/>
        <w:rPr>
          <w:i/>
          <w:sz w:val="20"/>
          <w:szCs w:val="20"/>
        </w:rPr>
      </w:pPr>
      <w:r w:rsidRPr="007E3FF9">
        <w:rPr>
          <w:i/>
          <w:sz w:val="20"/>
          <w:szCs w:val="20"/>
        </w:rPr>
        <w:t>kombinatsioon loetletud hindamisvormidest.</w:t>
      </w:r>
    </w:p>
    <w:p w14:paraId="0C783016" w14:textId="77777777" w:rsidR="0007121E" w:rsidRPr="002A08A0" w:rsidRDefault="0007121E" w:rsidP="006D73BA">
      <w:pPr>
        <w:pStyle w:val="ListParagraph"/>
        <w:tabs>
          <w:tab w:val="left" w:pos="426"/>
        </w:tabs>
        <w:ind w:left="0"/>
        <w:contextualSpacing w:val="0"/>
        <w:jc w:val="both"/>
      </w:pPr>
    </w:p>
    <w:p w14:paraId="79D984F8" w14:textId="77777777" w:rsidR="0007121E" w:rsidRPr="002A08A0" w:rsidRDefault="0007121E" w:rsidP="006D73BA">
      <w:pPr>
        <w:pStyle w:val="ListParagraph"/>
        <w:tabs>
          <w:tab w:val="left" w:pos="426"/>
        </w:tabs>
        <w:ind w:left="0"/>
        <w:contextualSpacing w:val="0"/>
        <w:jc w:val="both"/>
      </w:pPr>
      <w:r w:rsidRPr="002A08A0">
        <w:t>Kutse ……………….. hindamismeetodid:</w:t>
      </w:r>
    </w:p>
    <w:p w14:paraId="28CF26A7" w14:textId="77777777" w:rsidR="0007121E" w:rsidRPr="002A08A0" w:rsidRDefault="0007121E" w:rsidP="006D73BA">
      <w:pPr>
        <w:pStyle w:val="ListParagraph"/>
        <w:tabs>
          <w:tab w:val="left" w:pos="426"/>
        </w:tabs>
        <w:ind w:left="0"/>
        <w:contextualSpacing w:val="0"/>
        <w:jc w:val="both"/>
        <w:rPr>
          <w:i/>
          <w:sz w:val="20"/>
          <w:szCs w:val="20"/>
        </w:rPr>
      </w:pPr>
      <w:r w:rsidRPr="002A08A0">
        <w:rPr>
          <w:i/>
          <w:sz w:val="20"/>
          <w:szCs w:val="20"/>
        </w:rPr>
        <w:t>Loetleda iga kutse kohta eraldi või esitada kutsed loeteluna, kui hindamismeetod(id) on sama(d).</w:t>
      </w:r>
    </w:p>
    <w:p w14:paraId="2E0A9CFA" w14:textId="77777777" w:rsidR="0007121E" w:rsidRPr="002A08A0" w:rsidRDefault="0007121E" w:rsidP="006D73BA">
      <w:pPr>
        <w:pStyle w:val="ListParagraph"/>
        <w:tabs>
          <w:tab w:val="left" w:pos="426"/>
        </w:tabs>
        <w:ind w:left="0"/>
        <w:contextualSpacing w:val="0"/>
        <w:jc w:val="both"/>
      </w:pPr>
    </w:p>
    <w:p w14:paraId="6834E129" w14:textId="77777777" w:rsidR="0007121E" w:rsidRPr="002A08A0" w:rsidRDefault="0007121E" w:rsidP="006D73BA">
      <w:pPr>
        <w:pStyle w:val="ListParagraph"/>
        <w:tabs>
          <w:tab w:val="left" w:pos="426"/>
        </w:tabs>
        <w:ind w:left="0"/>
        <w:contextualSpacing w:val="0"/>
        <w:jc w:val="both"/>
      </w:pPr>
      <w:r w:rsidRPr="002A08A0">
        <w:lastRenderedPageBreak/>
        <w:t>Kutse ……………….. spetsialiseerumise ……………….. hindamismeetodid:</w:t>
      </w:r>
    </w:p>
    <w:p w14:paraId="4FAEC087" w14:textId="77777777" w:rsidR="0007121E" w:rsidRPr="002A08A0" w:rsidRDefault="0007121E" w:rsidP="006D73BA">
      <w:pPr>
        <w:pStyle w:val="ListParagraph"/>
        <w:tabs>
          <w:tab w:val="left" w:pos="426"/>
        </w:tabs>
        <w:ind w:left="0"/>
        <w:contextualSpacing w:val="0"/>
        <w:jc w:val="both"/>
        <w:rPr>
          <w:i/>
          <w:sz w:val="20"/>
          <w:szCs w:val="20"/>
        </w:rPr>
      </w:pPr>
      <w:r w:rsidRPr="002A08A0">
        <w:rPr>
          <w:i/>
          <w:sz w:val="20"/>
          <w:szCs w:val="20"/>
        </w:rPr>
        <w:t>Loetleda iga spetsialiseerumise kohta eraldi või esitada spetsialiseerumised loeteluna, kui hindamismeetod(id) on sama(d).</w:t>
      </w:r>
    </w:p>
    <w:p w14:paraId="4C45821E" w14:textId="77777777" w:rsidR="0007121E" w:rsidRDefault="0007121E" w:rsidP="006D73BA">
      <w:pPr>
        <w:jc w:val="both"/>
      </w:pPr>
      <w:r>
        <w:t>Kutse ……………….. osakutse ……………….. hindamismeetodid:</w:t>
      </w:r>
    </w:p>
    <w:p w14:paraId="219D845A" w14:textId="77777777" w:rsidR="0007121E" w:rsidRPr="0007121E" w:rsidRDefault="0007121E" w:rsidP="006D73BA">
      <w:pPr>
        <w:jc w:val="both"/>
        <w:rPr>
          <w:i/>
          <w:iCs/>
          <w:sz w:val="20"/>
          <w:szCs w:val="20"/>
        </w:rPr>
      </w:pPr>
      <w:r w:rsidRPr="0007121E">
        <w:rPr>
          <w:i/>
          <w:iCs/>
          <w:sz w:val="20"/>
          <w:szCs w:val="20"/>
        </w:rPr>
        <w:t>Loetleda iga osakutse kohta eraldi või esitada osakutsed loeteluna, kui hindamismeetodid on samad.</w:t>
      </w:r>
    </w:p>
    <w:p w14:paraId="32EB472A" w14:textId="77777777" w:rsidR="0007121E" w:rsidRDefault="0007121E" w:rsidP="006D73BA">
      <w:pPr>
        <w:jc w:val="both"/>
      </w:pPr>
    </w:p>
    <w:p w14:paraId="0715E144" w14:textId="77777777" w:rsidR="0007121E" w:rsidRDefault="0007121E" w:rsidP="006D73BA">
      <w:pPr>
        <w:jc w:val="both"/>
      </w:pPr>
      <w:r>
        <w:t>3.2</w:t>
      </w:r>
      <w:r>
        <w:tab/>
        <w:t>Kompetentsuse hindamise meetodid kutse taastõendamisel:</w:t>
      </w:r>
    </w:p>
    <w:p w14:paraId="6D6F9A5C" w14:textId="77777777" w:rsidR="0007121E" w:rsidRPr="004476C4" w:rsidRDefault="0007121E" w:rsidP="006D73BA">
      <w:pPr>
        <w:jc w:val="both"/>
        <w:rPr>
          <w:i/>
          <w:iCs/>
          <w:sz w:val="20"/>
          <w:szCs w:val="20"/>
        </w:rPr>
      </w:pPr>
      <w:r w:rsidRPr="004476C4">
        <w:rPr>
          <w:i/>
          <w:iCs/>
          <w:sz w:val="20"/>
          <w:szCs w:val="20"/>
        </w:rPr>
        <w:t>Vajadusel loetleda iga kutse kohta eraldi</w:t>
      </w:r>
    </w:p>
    <w:p w14:paraId="6D819F26" w14:textId="77777777" w:rsidR="0007121E" w:rsidRDefault="0007121E" w:rsidP="006D73BA">
      <w:pPr>
        <w:jc w:val="both"/>
      </w:pPr>
    </w:p>
    <w:p w14:paraId="20C36C05" w14:textId="77777777" w:rsidR="0007121E" w:rsidRDefault="0007121E" w:rsidP="006D73BA">
      <w:pPr>
        <w:jc w:val="both"/>
      </w:pPr>
      <w:r>
        <w:t>Kutse ……………….. hindamismeetodid:</w:t>
      </w:r>
    </w:p>
    <w:p w14:paraId="0413AEFF" w14:textId="77777777" w:rsidR="0007121E" w:rsidRPr="004476C4" w:rsidRDefault="0007121E" w:rsidP="006D73BA">
      <w:pPr>
        <w:jc w:val="both"/>
        <w:rPr>
          <w:i/>
          <w:iCs/>
          <w:sz w:val="20"/>
          <w:szCs w:val="20"/>
        </w:rPr>
      </w:pPr>
      <w:r w:rsidRPr="004476C4">
        <w:rPr>
          <w:i/>
          <w:iCs/>
          <w:sz w:val="20"/>
          <w:szCs w:val="20"/>
        </w:rPr>
        <w:t>Loetleda iga kutse kohta eraldi või esitada kutsed loeteluna, kui hindamismeetod(id) on sama(d).</w:t>
      </w:r>
    </w:p>
    <w:p w14:paraId="022D2270" w14:textId="77777777" w:rsidR="0007121E" w:rsidRDefault="0007121E" w:rsidP="006D73BA">
      <w:pPr>
        <w:jc w:val="both"/>
      </w:pPr>
    </w:p>
    <w:p w14:paraId="188EE633" w14:textId="77777777" w:rsidR="0007121E" w:rsidRDefault="0007121E" w:rsidP="006D73BA">
      <w:pPr>
        <w:jc w:val="both"/>
      </w:pPr>
      <w:r>
        <w:t>Kutse ……………….. spetsialiseerumise ……………….. hindamismeetodid:</w:t>
      </w:r>
    </w:p>
    <w:p w14:paraId="3D21FF42" w14:textId="77777777" w:rsidR="0007121E" w:rsidRPr="004476C4" w:rsidRDefault="0007121E" w:rsidP="006D73BA">
      <w:pPr>
        <w:jc w:val="both"/>
        <w:rPr>
          <w:i/>
          <w:iCs/>
          <w:sz w:val="20"/>
          <w:szCs w:val="20"/>
        </w:rPr>
      </w:pPr>
      <w:r w:rsidRPr="004476C4">
        <w:rPr>
          <w:i/>
          <w:iCs/>
          <w:sz w:val="20"/>
          <w:szCs w:val="20"/>
        </w:rPr>
        <w:t>Loetleda iga spetsialiseerumise kohta eraldi või esitada spetsialiseerumised loeteluna, kui hindamismeetod(id) on sama(d).</w:t>
      </w:r>
    </w:p>
    <w:p w14:paraId="5C4A5174" w14:textId="77777777" w:rsidR="0007121E" w:rsidRDefault="0007121E" w:rsidP="006D73BA">
      <w:pPr>
        <w:jc w:val="both"/>
      </w:pPr>
    </w:p>
    <w:p w14:paraId="2A23BE1C" w14:textId="77777777" w:rsidR="0007121E" w:rsidRDefault="0007121E" w:rsidP="006D73BA">
      <w:pPr>
        <w:jc w:val="both"/>
      </w:pPr>
      <w:r>
        <w:t>Kutse ……………….. osakutse ……………….. hindamismeetodid:</w:t>
      </w:r>
    </w:p>
    <w:p w14:paraId="38411263" w14:textId="77777777" w:rsidR="0007121E" w:rsidRPr="004476C4" w:rsidRDefault="0007121E" w:rsidP="006D73BA">
      <w:pPr>
        <w:jc w:val="both"/>
        <w:rPr>
          <w:i/>
          <w:iCs/>
          <w:sz w:val="20"/>
          <w:szCs w:val="20"/>
        </w:rPr>
      </w:pPr>
      <w:r w:rsidRPr="004476C4">
        <w:rPr>
          <w:i/>
          <w:iCs/>
          <w:sz w:val="20"/>
          <w:szCs w:val="20"/>
        </w:rPr>
        <w:t>Loetleda iga osakutse kohta eraldi või esitada osakutsed loeteluna, kui hindamismeetodid on samad.</w:t>
      </w:r>
    </w:p>
    <w:p w14:paraId="336B2E1E" w14:textId="77777777" w:rsidR="0007121E" w:rsidRDefault="0007121E" w:rsidP="006D73BA">
      <w:pPr>
        <w:jc w:val="both"/>
      </w:pPr>
    </w:p>
    <w:p w14:paraId="31D4F9AF" w14:textId="77777777" w:rsidR="0007121E" w:rsidRDefault="0007121E" w:rsidP="006D73BA">
      <w:pPr>
        <w:jc w:val="both"/>
      </w:pPr>
    </w:p>
    <w:p w14:paraId="527B7EAC" w14:textId="2F136DD6" w:rsidR="0007121E" w:rsidRDefault="0007121E" w:rsidP="006D73BA">
      <w:pPr>
        <w:jc w:val="both"/>
        <w:rPr>
          <w:i/>
          <w:iCs/>
          <w:sz w:val="20"/>
          <w:szCs w:val="20"/>
        </w:rPr>
      </w:pPr>
      <w:r w:rsidRPr="004476C4">
        <w:rPr>
          <w:i/>
          <w:iCs/>
          <w:sz w:val="20"/>
          <w:szCs w:val="20"/>
        </w:rPr>
        <w:t>Hindamisstandardi olemasolul viidata hindamisstandardi asukohale (näiteks: hindamise korraldus ja tingimused on kirjeldatud hindamisstandardites, mis on leitavad kutse andja veebilehel www……).</w:t>
      </w:r>
    </w:p>
    <w:p w14:paraId="17697C31" w14:textId="77777777" w:rsidR="004476C4" w:rsidRPr="004476C4" w:rsidRDefault="004476C4" w:rsidP="006D73BA">
      <w:pPr>
        <w:jc w:val="both"/>
        <w:rPr>
          <w:i/>
          <w:iCs/>
          <w:sz w:val="20"/>
          <w:szCs w:val="20"/>
        </w:rPr>
      </w:pPr>
    </w:p>
    <w:p w14:paraId="66B76CFD" w14:textId="77777777" w:rsidR="0007121E" w:rsidRDefault="0007121E" w:rsidP="006D73BA">
      <w:pPr>
        <w:jc w:val="both"/>
      </w:pPr>
      <w:r>
        <w:t>3.3</w:t>
      </w:r>
      <w:r>
        <w:tab/>
        <w:t>Kutseõppe lõpetamisel sooritatava kutseeksami vorm</w:t>
      </w:r>
    </w:p>
    <w:p w14:paraId="25DD2451" w14:textId="77777777" w:rsidR="0007121E" w:rsidRPr="006D73BA" w:rsidRDefault="0007121E" w:rsidP="006D73BA">
      <w:pPr>
        <w:jc w:val="both"/>
        <w:rPr>
          <w:i/>
          <w:iCs/>
          <w:sz w:val="20"/>
          <w:szCs w:val="20"/>
        </w:rPr>
      </w:pPr>
      <w:r w:rsidRPr="006D73BA">
        <w:rPr>
          <w:i/>
          <w:iCs/>
          <w:sz w:val="20"/>
          <w:szCs w:val="20"/>
        </w:rPr>
        <w:t>See punkt lisada vaid juhul, kui kutse andja korraldab kutseeksameid kutseõppeasutuse tasemeõppe lõpetajatele. Ülemmäärade määrusest tulenevalt määratleda kutseõppe lõpetajate kutseeksami vorm. Nimetada, kas kutseeksami vormiks on teoreetiline, praktiline või kombineeritud eksam.</w:t>
      </w:r>
    </w:p>
    <w:p w14:paraId="2FC6FB50" w14:textId="04A939EC" w:rsidR="0007121E" w:rsidRPr="006D73BA" w:rsidRDefault="0007121E" w:rsidP="006D73BA">
      <w:pPr>
        <w:jc w:val="both"/>
        <w:rPr>
          <w:i/>
          <w:iCs/>
          <w:sz w:val="16"/>
          <w:szCs w:val="16"/>
        </w:rPr>
      </w:pPr>
      <w:r w:rsidRPr="006D73BA">
        <w:rPr>
          <w:b/>
          <w:bCs/>
          <w:i/>
          <w:iCs/>
          <w:sz w:val="16"/>
          <w:szCs w:val="16"/>
        </w:rPr>
        <w:t>Teoreetiline eksam</w:t>
      </w:r>
      <w:r w:rsidRPr="006D73BA">
        <w:rPr>
          <w:i/>
          <w:iCs/>
          <w:sz w:val="16"/>
          <w:szCs w:val="16"/>
        </w:rPr>
        <w:t xml:space="preserve"> on kompetentside vastavuse hindamine kutsestandardi nõuetele, mille puhul kutse taotleja tõendab teadmisi, oskusi ja hoiakuid suuliselt või kirjalikult, kasutades paberit ja kirjutusvahendit või arvutit, st materjalikulu puudub. Hindamismeetoditeks võivad olla näiteks valik- või vabavastustega struktureeritud kirjalik töö, intervjuu, eneseanalüüs, portfoolio, aruanne, esitlus jmt meetodid.</w:t>
      </w:r>
    </w:p>
    <w:p w14:paraId="39E43031" w14:textId="3CBBFA86" w:rsidR="006D73BA" w:rsidRPr="006D73BA" w:rsidRDefault="0007121E" w:rsidP="006D73BA">
      <w:pPr>
        <w:jc w:val="both"/>
        <w:rPr>
          <w:i/>
          <w:iCs/>
          <w:sz w:val="16"/>
          <w:szCs w:val="16"/>
        </w:rPr>
      </w:pPr>
      <w:r w:rsidRPr="006D73BA">
        <w:rPr>
          <w:b/>
          <w:bCs/>
          <w:i/>
          <w:iCs/>
          <w:sz w:val="16"/>
          <w:szCs w:val="16"/>
        </w:rPr>
        <w:t>Praktiline eksam</w:t>
      </w:r>
      <w:r w:rsidRPr="006D73BA">
        <w:rPr>
          <w:i/>
          <w:iCs/>
          <w:sz w:val="16"/>
          <w:szCs w:val="16"/>
        </w:rPr>
        <w:t xml:space="preserve"> on kompetentside vastavuse hindamine kutsestandardi nõuetele, mille puhul kutse taotleja tõendab teadmisi, oskusi ja hoiakuid praktiliselt, kasutades erinevaid töö- ja abivahendeid ning materjale, mis on soetatud kutseeksami läbiviimiseks ja mida hiljem ei ole</w:t>
      </w:r>
      <w:r w:rsidR="006D73BA">
        <w:rPr>
          <w:i/>
          <w:iCs/>
          <w:sz w:val="16"/>
          <w:szCs w:val="16"/>
        </w:rPr>
        <w:t xml:space="preserve"> </w:t>
      </w:r>
      <w:r w:rsidR="006D73BA" w:rsidRPr="006D73BA">
        <w:rPr>
          <w:i/>
          <w:iCs/>
          <w:sz w:val="16"/>
          <w:szCs w:val="16"/>
        </w:rPr>
        <w:t>võimalik kasutada. Hindamismeetoditeks võivad olla näiteks proovitöö ja oskuste ettenäitamine kasutades eelnimetatud vahendeid ja materjale jmt meetodid.</w:t>
      </w:r>
    </w:p>
    <w:p w14:paraId="7D6CA4EE" w14:textId="0219944F" w:rsidR="002F6DCE" w:rsidRPr="006D73BA" w:rsidRDefault="006D73BA" w:rsidP="006D73BA">
      <w:pPr>
        <w:jc w:val="both"/>
        <w:rPr>
          <w:i/>
          <w:iCs/>
          <w:sz w:val="16"/>
          <w:szCs w:val="16"/>
        </w:rPr>
      </w:pPr>
      <w:r w:rsidRPr="006D73BA">
        <w:rPr>
          <w:b/>
          <w:bCs/>
          <w:i/>
          <w:iCs/>
          <w:sz w:val="16"/>
          <w:szCs w:val="16"/>
        </w:rPr>
        <w:t>Kombineeritud eksam</w:t>
      </w:r>
      <w:r w:rsidRPr="006D73BA">
        <w:rPr>
          <w:i/>
          <w:iCs/>
          <w:sz w:val="16"/>
          <w:szCs w:val="16"/>
        </w:rPr>
        <w:t xml:space="preserve"> on kompetentside vastavuse hindamine kutsestandardi nõuetele, mille puhul kutse taotleja tõendab teadmisi, oskusi ja hoiakuid nii suuliselt või kirjalikult kui ka praktiliselt. Kombineeritud eksam koosneb seega nii teoreetilisest kui ka praktilisest eksami osast.</w:t>
      </w:r>
    </w:p>
    <w:p w14:paraId="41EC406F" w14:textId="07BD755E" w:rsidR="002F6DCE" w:rsidRDefault="002F6DCE" w:rsidP="006D73BA">
      <w:pPr>
        <w:jc w:val="both"/>
      </w:pPr>
    </w:p>
    <w:p w14:paraId="0A4C5DE2" w14:textId="4F9E5DF4" w:rsidR="006D73BA" w:rsidRDefault="006D73BA" w:rsidP="006D73BA">
      <w:pPr>
        <w:jc w:val="both"/>
      </w:pPr>
      <w:r w:rsidRPr="006D73BA">
        <w:rPr>
          <w:i/>
          <w:iCs/>
        </w:rPr>
        <w:t>Kutsenimetus</w:t>
      </w:r>
      <w:r w:rsidRPr="006D73BA">
        <w:t xml:space="preserve"> kutseõppe tasemeõppe lõpetajate kutseeksami läbiviimise vorm on:</w:t>
      </w:r>
    </w:p>
    <w:p w14:paraId="40E39266" w14:textId="77777777" w:rsidR="006D73BA" w:rsidRDefault="006D73BA" w:rsidP="006D73BA">
      <w:pPr>
        <w:jc w:val="both"/>
      </w:pPr>
    </w:p>
    <w:p w14:paraId="42E10994" w14:textId="0A532C1E" w:rsidR="002F6DCE" w:rsidRDefault="006D73BA" w:rsidP="006D73BA">
      <w:pPr>
        <w:jc w:val="both"/>
      </w:pPr>
      <w:r w:rsidRPr="008B405F">
        <w:t>3.4</w:t>
      </w:r>
      <w:r w:rsidRPr="008B405F">
        <w:tab/>
        <w:t>Kutseõppe tasemeõppe lõpetajatel on õigus teha eksam selle standardiversiooni alusel, mille alusel on koostatud õppekava, mille õppija on läbinud.</w:t>
      </w:r>
    </w:p>
    <w:p w14:paraId="33D041C8" w14:textId="5778690D" w:rsidR="006D73BA" w:rsidRDefault="006D73BA" w:rsidP="006D73BA">
      <w:pPr>
        <w:jc w:val="both"/>
      </w:pPr>
    </w:p>
    <w:p w14:paraId="4162F7EE" w14:textId="201DCC09" w:rsidR="006D73BA" w:rsidRDefault="006D73BA" w:rsidP="006D73BA">
      <w:pPr>
        <w:jc w:val="both"/>
        <w:rPr>
          <w:b/>
          <w:bCs/>
        </w:rPr>
      </w:pPr>
      <w:r w:rsidRPr="006D73BA">
        <w:rPr>
          <w:b/>
          <w:bCs/>
        </w:rPr>
        <w:t>4.</w:t>
      </w:r>
      <w:r w:rsidRPr="006D73BA">
        <w:rPr>
          <w:b/>
          <w:bCs/>
        </w:rPr>
        <w:tab/>
        <w:t>KUTSE ANDMISE VÄLJAKUULUTAMINE</w:t>
      </w:r>
    </w:p>
    <w:p w14:paraId="32294212" w14:textId="73D88D58" w:rsidR="006D73BA" w:rsidRDefault="006D73BA" w:rsidP="006D73BA">
      <w:pPr>
        <w:jc w:val="both"/>
        <w:rPr>
          <w:b/>
          <w:bCs/>
        </w:rPr>
      </w:pPr>
    </w:p>
    <w:p w14:paraId="469047DF" w14:textId="77777777" w:rsidR="006D73BA" w:rsidRPr="006D73BA" w:rsidRDefault="006D73BA" w:rsidP="006D73BA">
      <w:pPr>
        <w:jc w:val="both"/>
      </w:pPr>
      <w:r w:rsidRPr="006D73BA">
        <w:t>4.1</w:t>
      </w:r>
      <w:r w:rsidRPr="006D73BA">
        <w:tab/>
        <w:t xml:space="preserve">Kutse andja kuulutab kutse andmise välja ..… korda aastas. </w:t>
      </w:r>
    </w:p>
    <w:p w14:paraId="28220896" w14:textId="77777777" w:rsidR="006D73BA" w:rsidRPr="006D73BA" w:rsidRDefault="006D73BA" w:rsidP="006D73BA">
      <w:pPr>
        <w:jc w:val="both"/>
      </w:pPr>
      <w:r w:rsidRPr="006D73BA">
        <w:t>4.2</w:t>
      </w:r>
      <w:r w:rsidRPr="006D73BA">
        <w:tab/>
        <w:t>Kutse andja loob oma kodulehele kataloogi „Kutse andmine“, kus avalikustab ajakohase teabe:</w:t>
      </w:r>
    </w:p>
    <w:p w14:paraId="3CB01C6A" w14:textId="77777777" w:rsidR="006D73BA" w:rsidRPr="006D73BA" w:rsidRDefault="006D73BA" w:rsidP="006D73BA">
      <w:pPr>
        <w:jc w:val="both"/>
      </w:pPr>
      <w:r w:rsidRPr="006D73BA">
        <w:t>1)</w:t>
      </w:r>
      <w:r w:rsidRPr="006D73BA">
        <w:tab/>
        <w:t>avalduste ja dokumentide vastuvõtu koha ja tähtajad ning esitamise viisid,</w:t>
      </w:r>
    </w:p>
    <w:p w14:paraId="4B3ED1A5" w14:textId="77777777" w:rsidR="006D73BA" w:rsidRPr="006D73BA" w:rsidRDefault="006D73BA" w:rsidP="006D73BA">
      <w:pPr>
        <w:jc w:val="both"/>
      </w:pPr>
      <w:r w:rsidRPr="006D73BA">
        <w:t>2)</w:t>
      </w:r>
      <w:r w:rsidRPr="006D73BA">
        <w:tab/>
        <w:t>hindamiste toimumise ajad,</w:t>
      </w:r>
    </w:p>
    <w:p w14:paraId="43FD7731" w14:textId="77777777" w:rsidR="006D73BA" w:rsidRPr="006D73BA" w:rsidRDefault="006D73BA" w:rsidP="006D73BA">
      <w:pPr>
        <w:jc w:val="both"/>
      </w:pPr>
      <w:r w:rsidRPr="006D73BA">
        <w:t>3)</w:t>
      </w:r>
      <w:r w:rsidRPr="006D73BA">
        <w:tab/>
        <w:t>tasu suuruse kutse andmisega seotud kulude katteks,</w:t>
      </w:r>
    </w:p>
    <w:p w14:paraId="55B35CE2" w14:textId="556158A6" w:rsidR="006D73BA" w:rsidRDefault="006D73BA" w:rsidP="006D73BA">
      <w:pPr>
        <w:jc w:val="both"/>
      </w:pPr>
      <w:r w:rsidRPr="006D73BA">
        <w:t>4)</w:t>
      </w:r>
      <w:r w:rsidRPr="006D73BA">
        <w:tab/>
        <w:t>muu kutse andmise korraldust ning tingimusi puudutav teave.</w:t>
      </w:r>
    </w:p>
    <w:p w14:paraId="1292AD20" w14:textId="20086FC8" w:rsidR="009C1923" w:rsidRDefault="009C1923" w:rsidP="006D73BA">
      <w:pPr>
        <w:jc w:val="both"/>
      </w:pPr>
    </w:p>
    <w:p w14:paraId="51636A66" w14:textId="097C2ED2" w:rsidR="009C1923" w:rsidRPr="002A08A0" w:rsidRDefault="009C1923" w:rsidP="009C1923">
      <w:pPr>
        <w:pStyle w:val="Heading1"/>
        <w:numPr>
          <w:ilvl w:val="0"/>
          <w:numId w:val="15"/>
        </w:numPr>
      </w:pPr>
      <w:bookmarkStart w:id="7" w:name="_Toc419121506"/>
      <w:r w:rsidRPr="002A08A0">
        <w:lastRenderedPageBreak/>
        <w:t>KUTSE ANDMISE OTSUSTAMINE JA KUTSETUNNISTUSE VÄLJASTAMINE</w:t>
      </w:r>
      <w:bookmarkEnd w:id="7"/>
    </w:p>
    <w:p w14:paraId="6DF5B467" w14:textId="77777777" w:rsidR="009C1923" w:rsidRPr="002A08A0" w:rsidRDefault="009C1923" w:rsidP="009C1923">
      <w:pPr>
        <w:pStyle w:val="Heading2"/>
        <w:spacing w:before="120"/>
        <w:ind w:left="0" w:hanging="9"/>
        <w:jc w:val="both"/>
      </w:pPr>
      <w:r w:rsidRPr="002A08A0">
        <w:t>Kutsekomisjon teeb kutse andmise või mitteandmise otsuse hindamistulemuste põhjal iga taotleja kohta eraldi.</w:t>
      </w:r>
    </w:p>
    <w:p w14:paraId="0616BC19" w14:textId="77777777" w:rsidR="009C1923" w:rsidRPr="002A08A0" w:rsidRDefault="009C1923" w:rsidP="009C1923">
      <w:pPr>
        <w:pStyle w:val="Heading2"/>
        <w:spacing w:before="120"/>
        <w:ind w:left="0" w:hanging="9"/>
        <w:jc w:val="both"/>
      </w:pPr>
      <w:r>
        <w:t xml:space="preserve">Kutse andja </w:t>
      </w:r>
      <w:r w:rsidRPr="002A08A0">
        <w:t>teatab otsusest taotlejale. Kutse mitteandmise otsust põhjendatakse kirjalikult.</w:t>
      </w:r>
    </w:p>
    <w:p w14:paraId="313AB51E" w14:textId="77777777" w:rsidR="009C1923" w:rsidRPr="002A08A0" w:rsidRDefault="009C1923" w:rsidP="009C1923">
      <w:pPr>
        <w:pStyle w:val="Heading2"/>
        <w:spacing w:before="120"/>
        <w:ind w:left="0" w:firstLine="0"/>
        <w:jc w:val="both"/>
      </w:pPr>
      <w:r w:rsidRPr="002A08A0">
        <w:t>Taotlejal on õigus esitada kaebus hindamisprotsessi kohta kutsekomisjonile.</w:t>
      </w:r>
    </w:p>
    <w:p w14:paraId="344315EB" w14:textId="77777777" w:rsidR="009C1923" w:rsidRPr="00F911B2" w:rsidRDefault="009C1923" w:rsidP="009C1923">
      <w:pPr>
        <w:pStyle w:val="Heading2"/>
        <w:spacing w:before="120"/>
        <w:ind w:left="0" w:firstLine="0"/>
        <w:jc w:val="both"/>
      </w:pPr>
      <w:r w:rsidRPr="00F911B2">
        <w:t>Taotlejal on õigus vaidlustada kutsekomisjoni otsus kutset taotlevale isikule kutse andmise või andmata jätmise kohta haldusmenetluse seaduses sätestatud tingimustel ja korras vaide esitamisega kutse andjale või kaebusega halduskohtusse halduskohtumenetluse seaduse alusel.</w:t>
      </w:r>
    </w:p>
    <w:p w14:paraId="0CAC9FEE" w14:textId="77777777" w:rsidR="009C1923" w:rsidRPr="00F911B2" w:rsidRDefault="009C1923" w:rsidP="009C1923">
      <w:pPr>
        <w:pStyle w:val="Heading2"/>
        <w:spacing w:before="120"/>
        <w:ind w:left="0" w:hanging="9"/>
        <w:jc w:val="both"/>
      </w:pPr>
      <w:r w:rsidRPr="00F911B2">
        <w:t>Taotlejal on õigus kutsekomisjoni vaideotsus edasi kaevata halduskohtumenetluse seadustikus sätestatud tingimustel ja korras halduskohtusse.</w:t>
      </w:r>
    </w:p>
    <w:p w14:paraId="558032D8" w14:textId="77777777" w:rsidR="009C1923" w:rsidRDefault="009C1923" w:rsidP="009C1923">
      <w:pPr>
        <w:pStyle w:val="Heading2"/>
        <w:spacing w:before="120"/>
        <w:ind w:left="0" w:hanging="9"/>
        <w:jc w:val="both"/>
        <w:rPr>
          <w:color w:val="000000"/>
        </w:rPr>
      </w:pPr>
      <w:r w:rsidRPr="00F911B2">
        <w:rPr>
          <w:color w:val="000000"/>
        </w:rPr>
        <w:t>Kutse andja sisestab kutse taotleja ees- ja perekonnanime ning isikukoodi, selle puudumisel sünniaja, kutsetunnistuse väljaandja, antud kutse ja kutsetaseme ning kehtivusaja alguse ja lõpu kutseregistrisse 10 tööpäeva jooksul, arvates kutseregistrisse kande tegemise aluseks oleva otsuse tegemisest. Trükitud kutsetunnistused väljastab kutse andjale Kutsekoda.</w:t>
      </w:r>
    </w:p>
    <w:p w14:paraId="322B69F4" w14:textId="77777777" w:rsidR="009C1923" w:rsidRPr="002A08A0" w:rsidRDefault="009C1923" w:rsidP="009C1923">
      <w:pPr>
        <w:pStyle w:val="Heading2"/>
        <w:spacing w:before="120"/>
        <w:ind w:left="0" w:hanging="9"/>
        <w:jc w:val="both"/>
      </w:pPr>
      <w:r>
        <w:rPr>
          <w:color w:val="000000"/>
        </w:rPr>
        <w:t xml:space="preserve"> Paberkandjal kutsetunnistuse väljastab kutse saanud isikule tema taotlusel kutse andja. </w:t>
      </w:r>
      <w:r>
        <w:t xml:space="preserve">Kutse andja </w:t>
      </w:r>
      <w:r w:rsidRPr="002A08A0">
        <w:t>väljastab kutsetunnistuse ..... (</w:t>
      </w:r>
      <w:r w:rsidRPr="002A08A0">
        <w:rPr>
          <w:i/>
          <w:sz w:val="22"/>
          <w:szCs w:val="22"/>
        </w:rPr>
        <w:t>üldjuhul mitte vähem kui 30</w:t>
      </w:r>
      <w:r w:rsidRPr="002A08A0">
        <w:t>) päeva jooksul pärast kutse andmise otsuse vastuvõtmist.</w:t>
      </w:r>
    </w:p>
    <w:p w14:paraId="468C752E" w14:textId="77777777" w:rsidR="009C1923" w:rsidRPr="002A08A0" w:rsidRDefault="009C1923" w:rsidP="009C1923">
      <w:pPr>
        <w:pStyle w:val="Heading2"/>
        <w:spacing w:before="120"/>
        <w:ind w:left="0" w:hanging="9"/>
        <w:jc w:val="both"/>
      </w:pPr>
      <w:r w:rsidRPr="002A08A0">
        <w:t>Kutse andjal on kutsekomisjoni ettepanekul õigus tunnistada kutsetunnistus kehtetuks, kui:</w:t>
      </w:r>
    </w:p>
    <w:p w14:paraId="157840C0" w14:textId="77777777" w:rsidR="009C1923" w:rsidRPr="002A08A0" w:rsidRDefault="009C1923" w:rsidP="009C1923">
      <w:pPr>
        <w:numPr>
          <w:ilvl w:val="0"/>
          <w:numId w:val="13"/>
        </w:numPr>
        <w:ind w:left="0" w:firstLine="0"/>
        <w:jc w:val="both"/>
      </w:pPr>
      <w:r w:rsidRPr="002A08A0">
        <w:t>kutsetunnistus on saadud pettuse teel;</w:t>
      </w:r>
    </w:p>
    <w:p w14:paraId="4158D3D3" w14:textId="77777777" w:rsidR="009C1923" w:rsidRPr="002A08A0" w:rsidRDefault="009C1923" w:rsidP="009C1923">
      <w:pPr>
        <w:numPr>
          <w:ilvl w:val="0"/>
          <w:numId w:val="13"/>
        </w:numPr>
        <w:ind w:left="0" w:firstLine="0"/>
        <w:jc w:val="both"/>
      </w:pPr>
      <w:r w:rsidRPr="002A08A0">
        <w:t>kutsetunnistus on välja antud võltsitud või valeandmeid sisaldava dokumendi alusel;</w:t>
      </w:r>
    </w:p>
    <w:p w14:paraId="07C329D6" w14:textId="77777777" w:rsidR="009C1923" w:rsidRPr="002A08A0" w:rsidRDefault="009C1923" w:rsidP="009C1923">
      <w:pPr>
        <w:numPr>
          <w:ilvl w:val="0"/>
          <w:numId w:val="13"/>
        </w:numPr>
        <w:ind w:left="0" w:firstLine="0"/>
        <w:jc w:val="both"/>
      </w:pPr>
      <w:r w:rsidRPr="002A08A0">
        <w:t>kutset omava isiku tegevus ei vasta kutsestandardiga sätestatud normidele.</w:t>
      </w:r>
    </w:p>
    <w:p w14:paraId="6528A499" w14:textId="77777777" w:rsidR="009C1923" w:rsidRPr="002A08A0" w:rsidRDefault="009C1923" w:rsidP="009C1923">
      <w:pPr>
        <w:pStyle w:val="Heading2"/>
        <w:spacing w:before="120"/>
        <w:ind w:left="0" w:hanging="11"/>
        <w:jc w:val="both"/>
      </w:pPr>
      <w:r w:rsidRPr="002A08A0">
        <w:t>Kutsetunnistuse kehtetuks tunnistamisel peab kutsekomisjon andma isikule võimaluse esitada kirjalikus, suulises või muus sobivas vormis asja kohta oma arvamuse ja vastuväited. Kutsekomisjon võib kutsetunnistuse kehtetuks tunnistamisel tugineda kolmandate isikute (nt aukohus) seisukohtadele.</w:t>
      </w:r>
    </w:p>
    <w:p w14:paraId="633F61B7" w14:textId="77777777" w:rsidR="009C1923" w:rsidRDefault="009C1923" w:rsidP="009C1923">
      <w:pPr>
        <w:pStyle w:val="Heading2"/>
        <w:spacing w:before="120"/>
        <w:ind w:left="0" w:hanging="11"/>
        <w:jc w:val="both"/>
      </w:pPr>
      <w:r w:rsidRPr="002A08A0">
        <w:t>Kutsetunnistuse kehtetuks tunnistamisel kustutat</w:t>
      </w:r>
      <w:r>
        <w:t>akse see kutseregistrist ning kutse andja</w:t>
      </w:r>
      <w:r w:rsidRPr="002A08A0">
        <w:t xml:space="preserve"> teatab otsusest asjaomasele isikule tähtkirjaga ja avaldab sellekohase kuulutuse Ametlikes Teadaannetes (</w:t>
      </w:r>
      <w:hyperlink r:id="rId5" w:history="1">
        <w:r w:rsidRPr="002A08A0">
          <w:rPr>
            <w:rStyle w:val="Hyperlink"/>
          </w:rPr>
          <w:t>http://www.ametlikudteadaanded.ee/</w:t>
        </w:r>
      </w:hyperlink>
      <w:r w:rsidRPr="002A08A0">
        <w:t>).</w:t>
      </w:r>
      <w:r>
        <w:t xml:space="preserve"> </w:t>
      </w:r>
    </w:p>
    <w:p w14:paraId="1194850C" w14:textId="77777777" w:rsidR="009C1923" w:rsidRDefault="009C1923" w:rsidP="009C1923">
      <w:pPr>
        <w:pStyle w:val="Heading2"/>
        <w:spacing w:before="120"/>
        <w:ind w:left="0" w:hanging="11"/>
        <w:jc w:val="both"/>
      </w:pPr>
      <w:r w:rsidRPr="002A08A0">
        <w:rPr>
          <w:lang w:eastAsia="et-EE"/>
        </w:rPr>
        <w:t>Kutsetunnistuse omanik võib taotleda kutsetunnistuse duplikaadi väljaandmist kutse andjalt.</w:t>
      </w:r>
      <w:r>
        <w:rPr>
          <w:lang w:eastAsia="et-EE"/>
        </w:rPr>
        <w:t xml:space="preserve"> </w:t>
      </w:r>
    </w:p>
    <w:p w14:paraId="09C0CF7D" w14:textId="77777777" w:rsidR="009C1923" w:rsidRPr="00A511ED" w:rsidRDefault="009C1923" w:rsidP="009C1923">
      <w:pPr>
        <w:rPr>
          <w:lang w:eastAsia="et-EE"/>
        </w:rPr>
      </w:pPr>
    </w:p>
    <w:p w14:paraId="44E4B5BE" w14:textId="77777777" w:rsidR="009C1923" w:rsidRPr="002A08A0" w:rsidRDefault="009C1923" w:rsidP="009C1923">
      <w:pPr>
        <w:pStyle w:val="Heading1"/>
      </w:pPr>
      <w:bookmarkStart w:id="8" w:name="_Toc419121507"/>
      <w:r w:rsidRPr="002A08A0">
        <w:t>KUTSETUNNISTUSE KEHTIVUSAEG</w:t>
      </w:r>
    </w:p>
    <w:p w14:paraId="151D10DE" w14:textId="77777777" w:rsidR="009C1923" w:rsidRPr="002A08A0" w:rsidRDefault="009C1923" w:rsidP="009C1923">
      <w:pPr>
        <w:spacing w:before="120"/>
        <w:jc w:val="both"/>
      </w:pPr>
      <w:r w:rsidRPr="002A08A0">
        <w:t>Kutsetunnistuse kehtivusaja alguse otsustab kutsekomisjon.</w:t>
      </w:r>
    </w:p>
    <w:p w14:paraId="171CDC22" w14:textId="77777777" w:rsidR="009C1923" w:rsidRPr="002A08A0" w:rsidRDefault="009C1923" w:rsidP="009C1923">
      <w:pPr>
        <w:jc w:val="both"/>
        <w:rPr>
          <w:i/>
          <w:sz w:val="20"/>
          <w:szCs w:val="20"/>
        </w:rPr>
      </w:pPr>
      <w:r w:rsidRPr="002A08A0">
        <w:rPr>
          <w:i/>
          <w:sz w:val="20"/>
          <w:szCs w:val="20"/>
        </w:rPr>
        <w:t>Kutsetunnistuse kehtivusaeg määratletakse iga kutse kohta eraldi, näiteks:</w:t>
      </w:r>
    </w:p>
    <w:p w14:paraId="4935C2C4" w14:textId="77777777" w:rsidR="009C1923" w:rsidRPr="002A08A0" w:rsidRDefault="009C1923" w:rsidP="009C1923">
      <w:pPr>
        <w:jc w:val="both"/>
      </w:pPr>
      <w:r w:rsidRPr="002A08A0">
        <w:rPr>
          <w:i/>
        </w:rPr>
        <w:t xml:space="preserve">Kutse nimetus </w:t>
      </w:r>
      <w:r w:rsidRPr="002A08A0">
        <w:t xml:space="preserve">kutsetunnistus on </w:t>
      </w:r>
      <w:r w:rsidRPr="002A08A0">
        <w:rPr>
          <w:i/>
        </w:rPr>
        <w:t>tähtajatu.</w:t>
      </w:r>
    </w:p>
    <w:p w14:paraId="2E7DBECF" w14:textId="77777777" w:rsidR="009C1923" w:rsidRPr="002A08A0" w:rsidRDefault="009C1923" w:rsidP="009C1923">
      <w:pPr>
        <w:jc w:val="both"/>
      </w:pPr>
      <w:r w:rsidRPr="002A08A0">
        <w:rPr>
          <w:i/>
        </w:rPr>
        <w:t xml:space="preserve">Kutse nimetus </w:t>
      </w:r>
      <w:r w:rsidRPr="002A08A0">
        <w:t xml:space="preserve">kutsetunnistus </w:t>
      </w:r>
      <w:r w:rsidRPr="002A08A0">
        <w:rPr>
          <w:i/>
        </w:rPr>
        <w:t>kehtib ... aastat</w:t>
      </w:r>
      <w:r w:rsidRPr="002A08A0">
        <w:t>.</w:t>
      </w:r>
    </w:p>
    <w:p w14:paraId="290DCA5E" w14:textId="77777777" w:rsidR="009C1923" w:rsidRPr="002A08A0" w:rsidRDefault="009C1923" w:rsidP="009C1923">
      <w:pPr>
        <w:jc w:val="both"/>
      </w:pPr>
      <w:r w:rsidRPr="002A08A0">
        <w:rPr>
          <w:i/>
        </w:rPr>
        <w:t xml:space="preserve">Kutse nimetus </w:t>
      </w:r>
      <w:r w:rsidRPr="002A08A0">
        <w:t xml:space="preserve">kutsetunnistus </w:t>
      </w:r>
      <w:r w:rsidRPr="002A08A0">
        <w:rPr>
          <w:i/>
        </w:rPr>
        <w:t>kehtib ... aastat</w:t>
      </w:r>
    </w:p>
    <w:p w14:paraId="11193059" w14:textId="77777777" w:rsidR="009C1923" w:rsidRPr="002A08A0" w:rsidRDefault="009C1923" w:rsidP="009C1923">
      <w:pPr>
        <w:jc w:val="both"/>
      </w:pPr>
    </w:p>
    <w:p w14:paraId="0E6082A7" w14:textId="77777777" w:rsidR="009C1923" w:rsidRPr="002A08A0" w:rsidRDefault="009C1923" w:rsidP="009C1923">
      <w:pPr>
        <w:pStyle w:val="Heading1"/>
      </w:pPr>
      <w:r w:rsidRPr="002A08A0">
        <w:t>KUTSEKOMISJON</w:t>
      </w:r>
      <w:bookmarkEnd w:id="8"/>
    </w:p>
    <w:p w14:paraId="2780FC9D" w14:textId="77777777" w:rsidR="009C1923" w:rsidRPr="002A08A0" w:rsidRDefault="009C1923" w:rsidP="009C1923">
      <w:pPr>
        <w:pStyle w:val="Heading2"/>
        <w:spacing w:before="120"/>
        <w:ind w:left="0" w:firstLine="0"/>
        <w:jc w:val="both"/>
      </w:pPr>
      <w:r>
        <w:t xml:space="preserve">Kutse andja </w:t>
      </w:r>
      <w:r w:rsidRPr="002A08A0">
        <w:t>moodustab kutse andmise erapooletuse tagamiseks kutsekomisjoni. Kuts</w:t>
      </w:r>
      <w:r>
        <w:t xml:space="preserve">ekomisjoni volitused kehtivad kutse andja </w:t>
      </w:r>
      <w:r w:rsidRPr="002A08A0">
        <w:t xml:space="preserve">kutse andmise õiguse kehtivuse lõppemiseni. Kutsekomisjon töötab välja kutsekomisjoni töökorra. Kutsekomisjon lähtub oma töös </w:t>
      </w:r>
      <w:r w:rsidRPr="002A08A0">
        <w:lastRenderedPageBreak/>
        <w:t>kutseseadusest, kutse andmise korrast ja kutsekomisjoni töökorrast, kutsestandardist jm. kutse andja kehtestatud juhenditest. Kutsekomisjoni tööd korraldab kutse andja.</w:t>
      </w:r>
    </w:p>
    <w:p w14:paraId="1A67D281" w14:textId="77777777" w:rsidR="009C1923" w:rsidRPr="00EC33A0" w:rsidRDefault="009C1923" w:rsidP="009C1923">
      <w:pPr>
        <w:pStyle w:val="Heading2"/>
        <w:spacing w:before="120"/>
        <w:ind w:left="709" w:hanging="708"/>
      </w:pPr>
      <w:r w:rsidRPr="00EC33A0">
        <w:t xml:space="preserve">Kutsekomisjoni koosseis </w:t>
      </w:r>
    </w:p>
    <w:p w14:paraId="1C034C92" w14:textId="77777777" w:rsidR="009C1923" w:rsidRPr="002A08A0" w:rsidRDefault="009C1923" w:rsidP="009C1923">
      <w:pPr>
        <w:pStyle w:val="CommentText"/>
        <w:jc w:val="both"/>
        <w:rPr>
          <w:sz w:val="24"/>
          <w:szCs w:val="24"/>
          <w:lang w:eastAsia="et-EE"/>
        </w:rPr>
      </w:pPr>
      <w:r w:rsidRPr="002A08A0">
        <w:rPr>
          <w:sz w:val="24"/>
          <w:szCs w:val="24"/>
        </w:rPr>
        <w:t>Kutsekomisjoni koosseisu kuuluvad:</w:t>
      </w:r>
    </w:p>
    <w:p w14:paraId="459D4F3C" w14:textId="77777777" w:rsidR="009C1923" w:rsidRPr="002A08A0" w:rsidRDefault="009C1923" w:rsidP="009C1923">
      <w:pPr>
        <w:pStyle w:val="ListParagraph"/>
        <w:tabs>
          <w:tab w:val="left" w:pos="426"/>
          <w:tab w:val="left" w:pos="851"/>
        </w:tabs>
        <w:ind w:left="0"/>
        <w:contextualSpacing w:val="0"/>
        <w:jc w:val="both"/>
        <w:rPr>
          <w:i/>
          <w:sz w:val="20"/>
          <w:szCs w:val="20"/>
        </w:rPr>
      </w:pPr>
      <w:r w:rsidRPr="002A08A0">
        <w:rPr>
          <w:i/>
          <w:sz w:val="20"/>
          <w:szCs w:val="20"/>
        </w:rPr>
        <w:t>..... kutse(te) andmisest huvitatud osapooled: tööandjad, töötajad, kutse- ja erialaliitude esindajad, spetsialistid, koolitajad, vajadusel klientide ja tarbijate esindajad, samuti teised huvitatud osapooled, järgides põhimõtet, et 2/3 liikmetest on töömaailma (tööandjate ja töötajate) esindajad. Loetelu täpsustada vastavalt kutseala(de) iseärasustele.</w:t>
      </w:r>
    </w:p>
    <w:p w14:paraId="3EF5949A" w14:textId="77777777" w:rsidR="009C1923" w:rsidRPr="002A08A0" w:rsidRDefault="009C1923" w:rsidP="009C1923">
      <w:pPr>
        <w:pStyle w:val="ListParagraph"/>
        <w:tabs>
          <w:tab w:val="left" w:pos="426"/>
          <w:tab w:val="left" w:pos="851"/>
        </w:tabs>
        <w:ind w:left="0"/>
        <w:contextualSpacing w:val="0"/>
        <w:jc w:val="both"/>
        <w:rPr>
          <w:i/>
          <w:sz w:val="20"/>
          <w:szCs w:val="20"/>
        </w:rPr>
      </w:pPr>
      <w:r w:rsidRPr="002A08A0">
        <w:rPr>
          <w:i/>
          <w:sz w:val="20"/>
          <w:szCs w:val="20"/>
        </w:rPr>
        <w:t>Järgida alljärgnevalt esitatud struktuuri.</w:t>
      </w:r>
    </w:p>
    <w:p w14:paraId="6E52AFAF" w14:textId="77777777" w:rsidR="009C1923" w:rsidRPr="002A08A0" w:rsidRDefault="009C1923" w:rsidP="009C1923">
      <w:pPr>
        <w:pStyle w:val="ListParagraph"/>
        <w:numPr>
          <w:ilvl w:val="0"/>
          <w:numId w:val="11"/>
        </w:numPr>
        <w:tabs>
          <w:tab w:val="left" w:pos="284"/>
        </w:tabs>
        <w:ind w:left="0" w:firstLine="0"/>
        <w:contextualSpacing w:val="0"/>
        <w:jc w:val="both"/>
        <w:rPr>
          <w:i/>
        </w:rPr>
      </w:pPr>
      <w:r w:rsidRPr="002A08A0">
        <w:t>Tööandjad</w:t>
      </w:r>
    </w:p>
    <w:p w14:paraId="752AC14F" w14:textId="77777777" w:rsidR="009C1923" w:rsidRPr="002A08A0" w:rsidRDefault="009C1923" w:rsidP="009C1923">
      <w:pPr>
        <w:pStyle w:val="ListParagraph"/>
        <w:tabs>
          <w:tab w:val="left" w:pos="284"/>
        </w:tabs>
        <w:ind w:left="0"/>
        <w:contextualSpacing w:val="0"/>
        <w:jc w:val="both"/>
        <w:rPr>
          <w:i/>
          <w:sz w:val="20"/>
          <w:szCs w:val="20"/>
        </w:rPr>
      </w:pPr>
      <w:r w:rsidRPr="002A08A0">
        <w:rPr>
          <w:i/>
          <w:sz w:val="20"/>
          <w:szCs w:val="20"/>
        </w:rPr>
        <w:t>Isik ja töökoht</w:t>
      </w:r>
    </w:p>
    <w:p w14:paraId="0446F3E8" w14:textId="77777777" w:rsidR="009C1923" w:rsidRPr="002A08A0" w:rsidRDefault="009C1923" w:rsidP="009C1923">
      <w:pPr>
        <w:pStyle w:val="ListParagraph"/>
        <w:tabs>
          <w:tab w:val="left" w:pos="284"/>
        </w:tabs>
        <w:ind w:left="0"/>
        <w:contextualSpacing w:val="0"/>
        <w:jc w:val="both"/>
        <w:rPr>
          <w:i/>
        </w:rPr>
      </w:pPr>
      <w:r w:rsidRPr="002A08A0">
        <w:rPr>
          <w:i/>
        </w:rPr>
        <w:t>......</w:t>
      </w:r>
    </w:p>
    <w:p w14:paraId="3107B6AA" w14:textId="77777777" w:rsidR="009C1923" w:rsidRPr="002A08A0" w:rsidRDefault="009C1923" w:rsidP="009C1923">
      <w:pPr>
        <w:pStyle w:val="ListParagraph"/>
        <w:tabs>
          <w:tab w:val="left" w:pos="284"/>
        </w:tabs>
        <w:ind w:left="0"/>
        <w:contextualSpacing w:val="0"/>
        <w:jc w:val="both"/>
      </w:pPr>
      <w:r w:rsidRPr="002A08A0">
        <w:t>jne</w:t>
      </w:r>
    </w:p>
    <w:p w14:paraId="0FF7781E" w14:textId="77777777" w:rsidR="009C1923" w:rsidRPr="002A08A0" w:rsidRDefault="009C1923" w:rsidP="009C1923">
      <w:pPr>
        <w:pStyle w:val="ListParagraph"/>
        <w:numPr>
          <w:ilvl w:val="0"/>
          <w:numId w:val="11"/>
        </w:numPr>
        <w:tabs>
          <w:tab w:val="left" w:pos="284"/>
        </w:tabs>
        <w:ind w:left="0" w:firstLine="0"/>
        <w:contextualSpacing w:val="0"/>
        <w:jc w:val="both"/>
      </w:pPr>
      <w:r w:rsidRPr="002A08A0">
        <w:t xml:space="preserve">Töötajad/spetsialistid </w:t>
      </w:r>
    </w:p>
    <w:p w14:paraId="23C7E101" w14:textId="77777777" w:rsidR="009C1923" w:rsidRPr="002A08A0" w:rsidRDefault="009C1923" w:rsidP="009C1923">
      <w:pPr>
        <w:pStyle w:val="ListParagraph"/>
        <w:tabs>
          <w:tab w:val="left" w:pos="284"/>
        </w:tabs>
        <w:ind w:left="0"/>
        <w:contextualSpacing w:val="0"/>
        <w:jc w:val="both"/>
        <w:rPr>
          <w:i/>
          <w:sz w:val="20"/>
          <w:szCs w:val="20"/>
        </w:rPr>
      </w:pPr>
      <w:r w:rsidRPr="002A08A0">
        <w:rPr>
          <w:i/>
          <w:sz w:val="20"/>
          <w:szCs w:val="20"/>
        </w:rPr>
        <w:t>Isik ja töökoht</w:t>
      </w:r>
    </w:p>
    <w:p w14:paraId="460FAF7E" w14:textId="77777777" w:rsidR="009C1923" w:rsidRPr="002A08A0" w:rsidRDefault="009C1923" w:rsidP="009C1923">
      <w:pPr>
        <w:pStyle w:val="ListParagraph"/>
        <w:tabs>
          <w:tab w:val="left" w:pos="284"/>
        </w:tabs>
        <w:ind w:left="0"/>
        <w:contextualSpacing w:val="0"/>
        <w:jc w:val="both"/>
        <w:rPr>
          <w:i/>
        </w:rPr>
      </w:pPr>
      <w:r w:rsidRPr="002A08A0">
        <w:rPr>
          <w:i/>
        </w:rPr>
        <w:t>......</w:t>
      </w:r>
    </w:p>
    <w:p w14:paraId="62CC3D3A" w14:textId="77777777" w:rsidR="009C1923" w:rsidRPr="002A08A0" w:rsidRDefault="009C1923" w:rsidP="009C1923">
      <w:pPr>
        <w:pStyle w:val="ListParagraph"/>
        <w:tabs>
          <w:tab w:val="left" w:pos="284"/>
        </w:tabs>
        <w:ind w:left="0"/>
        <w:contextualSpacing w:val="0"/>
        <w:jc w:val="both"/>
      </w:pPr>
      <w:r w:rsidRPr="002A08A0">
        <w:t>jne</w:t>
      </w:r>
    </w:p>
    <w:p w14:paraId="5055CCB6" w14:textId="77777777" w:rsidR="009C1923" w:rsidRPr="002A08A0" w:rsidRDefault="009C1923" w:rsidP="009C1923">
      <w:pPr>
        <w:pStyle w:val="ListParagraph"/>
        <w:numPr>
          <w:ilvl w:val="0"/>
          <w:numId w:val="11"/>
        </w:numPr>
        <w:tabs>
          <w:tab w:val="left" w:pos="284"/>
        </w:tabs>
        <w:ind w:left="0" w:firstLine="0"/>
        <w:contextualSpacing w:val="0"/>
        <w:jc w:val="both"/>
      </w:pPr>
      <w:r w:rsidRPr="002A08A0">
        <w:t>Koolitajad</w:t>
      </w:r>
    </w:p>
    <w:p w14:paraId="069B3883" w14:textId="77777777" w:rsidR="009C1923" w:rsidRPr="002A08A0" w:rsidRDefault="009C1923" w:rsidP="009C1923">
      <w:pPr>
        <w:pStyle w:val="ListParagraph"/>
        <w:tabs>
          <w:tab w:val="left" w:pos="284"/>
        </w:tabs>
        <w:ind w:left="0"/>
        <w:contextualSpacing w:val="0"/>
        <w:jc w:val="both"/>
        <w:rPr>
          <w:i/>
          <w:sz w:val="20"/>
          <w:szCs w:val="20"/>
        </w:rPr>
      </w:pPr>
      <w:r w:rsidRPr="002A08A0">
        <w:rPr>
          <w:i/>
          <w:sz w:val="20"/>
          <w:szCs w:val="20"/>
        </w:rPr>
        <w:t>Isik ja töökoht</w:t>
      </w:r>
    </w:p>
    <w:p w14:paraId="0BD3BDA1" w14:textId="77777777" w:rsidR="009C1923" w:rsidRPr="002A08A0" w:rsidRDefault="009C1923" w:rsidP="009C1923">
      <w:pPr>
        <w:pStyle w:val="ListParagraph"/>
        <w:tabs>
          <w:tab w:val="left" w:pos="284"/>
        </w:tabs>
        <w:ind w:left="0"/>
        <w:contextualSpacing w:val="0"/>
        <w:jc w:val="both"/>
        <w:rPr>
          <w:i/>
        </w:rPr>
      </w:pPr>
      <w:r w:rsidRPr="002A08A0">
        <w:rPr>
          <w:i/>
        </w:rPr>
        <w:t>......</w:t>
      </w:r>
    </w:p>
    <w:p w14:paraId="551E7A44" w14:textId="77777777" w:rsidR="009C1923" w:rsidRPr="002A08A0" w:rsidRDefault="009C1923" w:rsidP="009C1923">
      <w:pPr>
        <w:pStyle w:val="ListParagraph"/>
        <w:tabs>
          <w:tab w:val="left" w:pos="284"/>
        </w:tabs>
        <w:ind w:left="0"/>
        <w:contextualSpacing w:val="0"/>
        <w:jc w:val="both"/>
      </w:pPr>
      <w:r w:rsidRPr="002A08A0">
        <w:t>jne</w:t>
      </w:r>
    </w:p>
    <w:p w14:paraId="0D456610" w14:textId="77777777" w:rsidR="009C1923" w:rsidRPr="002A08A0" w:rsidRDefault="009C1923" w:rsidP="009C1923">
      <w:pPr>
        <w:pStyle w:val="ListParagraph"/>
        <w:numPr>
          <w:ilvl w:val="0"/>
          <w:numId w:val="11"/>
        </w:numPr>
        <w:tabs>
          <w:tab w:val="left" w:pos="284"/>
        </w:tabs>
        <w:ind w:left="360"/>
        <w:contextualSpacing w:val="0"/>
        <w:jc w:val="both"/>
      </w:pPr>
      <w:r w:rsidRPr="002A08A0">
        <w:t>Muud osapooled (</w:t>
      </w:r>
      <w:r w:rsidRPr="002A08A0">
        <w:rPr>
          <w:i/>
          <w:sz w:val="20"/>
          <w:szCs w:val="20"/>
        </w:rPr>
        <w:t>näit. tarbija-, järelevalve-, kliendi-, riigi esindajad jne</w:t>
      </w:r>
      <w:r w:rsidRPr="002A08A0">
        <w:t>.)</w:t>
      </w:r>
    </w:p>
    <w:p w14:paraId="3A6921BF" w14:textId="77777777" w:rsidR="009C1923" w:rsidRPr="002A08A0" w:rsidRDefault="009C1923" w:rsidP="009C1923">
      <w:pPr>
        <w:pStyle w:val="ListParagraph"/>
        <w:tabs>
          <w:tab w:val="left" w:pos="284"/>
        </w:tabs>
        <w:ind w:left="0"/>
        <w:contextualSpacing w:val="0"/>
        <w:jc w:val="both"/>
        <w:rPr>
          <w:i/>
          <w:sz w:val="20"/>
          <w:szCs w:val="20"/>
        </w:rPr>
      </w:pPr>
      <w:r w:rsidRPr="002A08A0">
        <w:rPr>
          <w:i/>
          <w:sz w:val="20"/>
          <w:szCs w:val="20"/>
        </w:rPr>
        <w:t>Isik ja töökoht</w:t>
      </w:r>
    </w:p>
    <w:p w14:paraId="6E405D1F" w14:textId="77777777" w:rsidR="009C1923" w:rsidRPr="002A08A0" w:rsidRDefault="009C1923" w:rsidP="009C1923">
      <w:pPr>
        <w:pStyle w:val="Heading2"/>
        <w:spacing w:before="120"/>
        <w:ind w:left="0" w:firstLine="0"/>
        <w:jc w:val="both"/>
        <w:rPr>
          <w:color w:val="000000" w:themeColor="text1"/>
          <w:lang w:eastAsia="et-EE"/>
        </w:rPr>
      </w:pPr>
      <w:r w:rsidRPr="002A08A0">
        <w:rPr>
          <w:color w:val="000000" w:themeColor="text1"/>
          <w:lang w:eastAsia="et-EE"/>
        </w:rPr>
        <w:t>Nõuded kutsekomisjoni liikmetele</w:t>
      </w:r>
    </w:p>
    <w:p w14:paraId="36416C11" w14:textId="77777777" w:rsidR="009C1923" w:rsidRPr="002A08A0" w:rsidRDefault="009C1923" w:rsidP="009C1923">
      <w:pPr>
        <w:pStyle w:val="Heading2"/>
        <w:numPr>
          <w:ilvl w:val="1"/>
          <w:numId w:val="14"/>
        </w:numPr>
        <w:ind w:left="0" w:firstLine="0"/>
        <w:jc w:val="both"/>
        <w:rPr>
          <w:color w:val="000000" w:themeColor="text1"/>
        </w:rPr>
      </w:pPr>
      <w:r w:rsidRPr="002A08A0">
        <w:rPr>
          <w:color w:val="000000" w:themeColor="text1"/>
          <w:lang w:eastAsia="en-US"/>
        </w:rPr>
        <w:t>Kutsekomisjoni liige peab omama ülevaadet kutsesüsteemist.</w:t>
      </w:r>
    </w:p>
    <w:p w14:paraId="06DBA11F" w14:textId="77777777" w:rsidR="009C1923" w:rsidRPr="002A08A0" w:rsidRDefault="009C1923" w:rsidP="009C1923">
      <w:pPr>
        <w:pStyle w:val="Heading2"/>
        <w:numPr>
          <w:ilvl w:val="1"/>
          <w:numId w:val="14"/>
        </w:numPr>
        <w:ind w:left="0" w:firstLine="0"/>
        <w:jc w:val="both"/>
        <w:rPr>
          <w:color w:val="000000" w:themeColor="text1"/>
          <w:lang w:eastAsia="en-US"/>
        </w:rPr>
      </w:pPr>
      <w:r w:rsidRPr="002A08A0">
        <w:rPr>
          <w:color w:val="000000" w:themeColor="text1"/>
          <w:lang w:eastAsia="en-US"/>
        </w:rPr>
        <w:t>Kutsekomisjoni liige peab omama ülevaadet ………. kutsealast, .......... eripärast ja ........</w:t>
      </w:r>
    </w:p>
    <w:p w14:paraId="32C0C6AE" w14:textId="77777777" w:rsidR="009C1923" w:rsidRPr="002A08A0" w:rsidRDefault="009C1923" w:rsidP="009C1923">
      <w:pPr>
        <w:pStyle w:val="Heading2"/>
        <w:numPr>
          <w:ilvl w:val="1"/>
          <w:numId w:val="14"/>
        </w:numPr>
        <w:ind w:left="0" w:firstLine="0"/>
        <w:jc w:val="both"/>
        <w:rPr>
          <w:color w:val="000000" w:themeColor="text1"/>
          <w:lang w:eastAsia="en-US"/>
        </w:rPr>
      </w:pPr>
      <w:r w:rsidRPr="002A08A0">
        <w:rPr>
          <w:color w:val="000000" w:themeColor="text1"/>
          <w:lang w:eastAsia="en-US"/>
        </w:rPr>
        <w:t>Kutsekomisjoni liige  peab tegutsema erapooletult.</w:t>
      </w:r>
    </w:p>
    <w:p w14:paraId="2892BF54" w14:textId="77777777" w:rsidR="009C1923" w:rsidRPr="002A08A0" w:rsidRDefault="009C1923" w:rsidP="009C1923">
      <w:pPr>
        <w:pStyle w:val="Heading2"/>
        <w:numPr>
          <w:ilvl w:val="1"/>
          <w:numId w:val="14"/>
        </w:numPr>
        <w:ind w:left="0" w:firstLine="0"/>
        <w:jc w:val="both"/>
        <w:rPr>
          <w:color w:val="000000" w:themeColor="text1"/>
          <w:lang w:eastAsia="en-US"/>
        </w:rPr>
      </w:pPr>
      <w:r w:rsidRPr="002A08A0">
        <w:rPr>
          <w:color w:val="000000" w:themeColor="text1"/>
          <w:lang w:eastAsia="en-US"/>
        </w:rPr>
        <w:t>……..</w:t>
      </w:r>
    </w:p>
    <w:p w14:paraId="20C2C33F" w14:textId="77777777" w:rsidR="009C1923" w:rsidRPr="002A08A0" w:rsidRDefault="009C1923" w:rsidP="009C1923">
      <w:pPr>
        <w:pStyle w:val="ListParagraph"/>
        <w:tabs>
          <w:tab w:val="left" w:pos="284"/>
        </w:tabs>
        <w:ind w:left="0"/>
        <w:contextualSpacing w:val="0"/>
        <w:jc w:val="both"/>
      </w:pPr>
      <w:r w:rsidRPr="002A08A0">
        <w:t>.....</w:t>
      </w:r>
    </w:p>
    <w:p w14:paraId="6AC91789" w14:textId="77777777" w:rsidR="009C1923" w:rsidRPr="002A08A0" w:rsidRDefault="009C1923" w:rsidP="009C1923">
      <w:pPr>
        <w:pStyle w:val="ListParagraph"/>
        <w:tabs>
          <w:tab w:val="left" w:pos="284"/>
        </w:tabs>
        <w:ind w:left="0"/>
        <w:contextualSpacing w:val="0"/>
        <w:jc w:val="both"/>
      </w:pPr>
      <w:r w:rsidRPr="002A08A0">
        <w:t>jne</w:t>
      </w:r>
    </w:p>
    <w:p w14:paraId="3F98BFD5" w14:textId="77777777" w:rsidR="009C1923" w:rsidRPr="002A08A0" w:rsidRDefault="009C1923" w:rsidP="009C1923">
      <w:pPr>
        <w:pStyle w:val="ListParagraph"/>
        <w:tabs>
          <w:tab w:val="left" w:pos="284"/>
        </w:tabs>
        <w:ind w:left="0"/>
        <w:contextualSpacing w:val="0"/>
        <w:jc w:val="both"/>
      </w:pPr>
    </w:p>
    <w:p w14:paraId="620418EE" w14:textId="77777777" w:rsidR="009C1923" w:rsidRPr="002A08A0" w:rsidRDefault="009C1923" w:rsidP="009C1923">
      <w:pPr>
        <w:pStyle w:val="Heading1"/>
      </w:pPr>
      <w:bookmarkStart w:id="9" w:name="_Toc419121509"/>
      <w:r w:rsidRPr="002A08A0">
        <w:t xml:space="preserve">HINDAMISKOMISJON </w:t>
      </w:r>
      <w:bookmarkEnd w:id="9"/>
    </w:p>
    <w:p w14:paraId="523D5866" w14:textId="77777777" w:rsidR="009C1923" w:rsidRPr="002A08A0" w:rsidRDefault="009C1923" w:rsidP="009C1923">
      <w:pPr>
        <w:pStyle w:val="Heading2"/>
        <w:spacing w:before="120"/>
        <w:ind w:left="0" w:firstLine="0"/>
        <w:jc w:val="both"/>
        <w:rPr>
          <w:i/>
        </w:rPr>
      </w:pPr>
      <w:r w:rsidRPr="002A08A0">
        <w:t>Kutsekomisjon moodustab kutse taotleja kompetentsuse hindamiseks hindamiskomisjon(id). Hindamiskomisjon koosneb vähemalt kolmest liikmest. Hindamiskomisjoni(de) liikmete kompetentsus peab kogumis vastama järgmistele nõuetele:</w:t>
      </w:r>
      <w:r w:rsidRPr="002A08A0">
        <w:rPr>
          <w:i/>
        </w:rPr>
        <w:t xml:space="preserve"> (</w:t>
      </w:r>
      <w:r w:rsidRPr="002A08A0">
        <w:rPr>
          <w:i/>
          <w:sz w:val="20"/>
          <w:szCs w:val="20"/>
        </w:rPr>
        <w:t>nõuded sõnastatakse vastavalt kutseala spetsiifikale</w:t>
      </w:r>
      <w:r w:rsidRPr="002A08A0">
        <w:rPr>
          <w:i/>
        </w:rPr>
        <w:t>)</w:t>
      </w:r>
    </w:p>
    <w:p w14:paraId="16751726" w14:textId="77777777" w:rsidR="009C1923" w:rsidRPr="002A08A0" w:rsidRDefault="009C1923" w:rsidP="009C1923">
      <w:pPr>
        <w:pStyle w:val="ListParagraph"/>
        <w:numPr>
          <w:ilvl w:val="0"/>
          <w:numId w:val="12"/>
        </w:numPr>
        <w:ind w:left="0" w:firstLine="0"/>
        <w:contextualSpacing w:val="0"/>
        <w:jc w:val="both"/>
      </w:pPr>
      <w:r w:rsidRPr="002A08A0">
        <w:t>kutsealane kompetentsus,</w:t>
      </w:r>
    </w:p>
    <w:p w14:paraId="2505DB55" w14:textId="77777777" w:rsidR="009C1923" w:rsidRPr="002A08A0" w:rsidRDefault="009C1923" w:rsidP="009C1923">
      <w:pPr>
        <w:pStyle w:val="ListParagraph"/>
        <w:numPr>
          <w:ilvl w:val="0"/>
          <w:numId w:val="12"/>
        </w:numPr>
        <w:ind w:left="0" w:firstLine="0"/>
        <w:contextualSpacing w:val="0"/>
        <w:jc w:val="both"/>
      </w:pPr>
      <w:r w:rsidRPr="002A08A0">
        <w:t>kutsesüsteemialane kompetentsus,</w:t>
      </w:r>
    </w:p>
    <w:p w14:paraId="6CBC0D24" w14:textId="77777777" w:rsidR="009C1923" w:rsidRPr="002A08A0" w:rsidRDefault="009C1923" w:rsidP="009C1923">
      <w:pPr>
        <w:pStyle w:val="ListParagraph"/>
        <w:numPr>
          <w:ilvl w:val="0"/>
          <w:numId w:val="12"/>
        </w:numPr>
        <w:ind w:left="0" w:firstLine="0"/>
        <w:contextualSpacing w:val="0"/>
        <w:jc w:val="both"/>
      </w:pPr>
      <w:r w:rsidRPr="002A08A0">
        <w:t>hindamisalane kompetentsus,</w:t>
      </w:r>
    </w:p>
    <w:p w14:paraId="0550FFF0" w14:textId="77777777" w:rsidR="009C1923" w:rsidRPr="002A08A0" w:rsidRDefault="009C1923" w:rsidP="009C1923">
      <w:pPr>
        <w:pStyle w:val="ListParagraph"/>
        <w:numPr>
          <w:ilvl w:val="0"/>
          <w:numId w:val="12"/>
        </w:numPr>
        <w:ind w:left="0" w:firstLine="0"/>
        <w:contextualSpacing w:val="0"/>
        <w:jc w:val="both"/>
      </w:pPr>
      <w:r w:rsidRPr="002A08A0">
        <w:t>……….</w:t>
      </w:r>
    </w:p>
    <w:p w14:paraId="0F77565C" w14:textId="77777777" w:rsidR="009C1923" w:rsidRPr="002A08A0" w:rsidRDefault="009C1923" w:rsidP="009C1923">
      <w:pPr>
        <w:pStyle w:val="Heading2"/>
        <w:spacing w:before="120"/>
        <w:ind w:left="0" w:firstLine="0"/>
        <w:jc w:val="both"/>
      </w:pPr>
      <w:r w:rsidRPr="002A08A0">
        <w:t>Hindamiskomisjoni liikmed peavad olema sobivate isikuomaduste ja hoiakutega ning tegutsema erapooletult.</w:t>
      </w:r>
    </w:p>
    <w:p w14:paraId="7038B56D" w14:textId="77777777" w:rsidR="009C1923" w:rsidRPr="002A08A0" w:rsidRDefault="009C1923" w:rsidP="009C1923"/>
    <w:p w14:paraId="4A9504AB" w14:textId="77777777" w:rsidR="009C1923" w:rsidRPr="002A08A0" w:rsidRDefault="009C1923" w:rsidP="009C1923">
      <w:pPr>
        <w:pStyle w:val="Heading1"/>
      </w:pPr>
      <w:bookmarkStart w:id="10" w:name="_Toc419121510"/>
      <w:r w:rsidRPr="002A08A0">
        <w:t>KUTSE ANDMISE DOKUMENTEERIMINE JA DOKUMENTIDE SÄILITAMINE</w:t>
      </w:r>
      <w:bookmarkEnd w:id="10"/>
    </w:p>
    <w:p w14:paraId="51E0E784" w14:textId="77777777" w:rsidR="009C1923" w:rsidRPr="002A08A0" w:rsidRDefault="009C1923" w:rsidP="009C1923">
      <w:pPr>
        <w:pStyle w:val="ListParagraph"/>
        <w:tabs>
          <w:tab w:val="left" w:pos="567"/>
        </w:tabs>
        <w:spacing w:before="120"/>
        <w:ind w:left="0"/>
        <w:contextualSpacing w:val="0"/>
        <w:jc w:val="both"/>
        <w:rPr>
          <w:lang w:eastAsia="et-EE"/>
        </w:rPr>
      </w:pPr>
      <w:r>
        <w:rPr>
          <w:lang w:eastAsia="et-EE"/>
        </w:rPr>
        <w:t xml:space="preserve">Kutse andja </w:t>
      </w:r>
      <w:r w:rsidRPr="002A08A0">
        <w:rPr>
          <w:lang w:eastAsia="et-EE"/>
        </w:rPr>
        <w:t xml:space="preserve">dokumenteerib kutse andmisega seotud tegevuse </w:t>
      </w:r>
      <w:r>
        <w:rPr>
          <w:lang w:eastAsia="et-EE"/>
        </w:rPr>
        <w:t>Kutsekoja</w:t>
      </w:r>
      <w:r w:rsidRPr="002A08A0">
        <w:rPr>
          <w:lang w:eastAsia="et-EE"/>
        </w:rPr>
        <w:t xml:space="preserve"> välja töötatud dokumendivormide järgi ja määratud ulatuses ning dokumente säilitatakse </w:t>
      </w:r>
      <w:r>
        <w:rPr>
          <w:lang w:eastAsia="et-EE"/>
        </w:rPr>
        <w:t>Kutsekoja</w:t>
      </w:r>
      <w:r w:rsidRPr="002A08A0">
        <w:rPr>
          <w:lang w:eastAsia="et-EE"/>
        </w:rPr>
        <w:t xml:space="preserve"> kinnitatud </w:t>
      </w:r>
      <w:r>
        <w:rPr>
          <w:lang w:eastAsia="et-EE"/>
        </w:rPr>
        <w:t>dokumentide säilitamise korras</w:t>
      </w:r>
      <w:r w:rsidRPr="002A08A0">
        <w:rPr>
          <w:lang w:eastAsia="et-EE"/>
        </w:rPr>
        <w:t xml:space="preserve"> sätestatud aja jooksul, kui õigusaktides ei ole tähtaegu sätestatud.</w:t>
      </w:r>
    </w:p>
    <w:p w14:paraId="7EB5063F" w14:textId="77777777" w:rsidR="009C1923" w:rsidRPr="006D73BA" w:rsidRDefault="009C1923" w:rsidP="006D73BA">
      <w:pPr>
        <w:jc w:val="both"/>
      </w:pPr>
    </w:p>
    <w:sectPr w:rsidR="009C1923" w:rsidRPr="006D73BA" w:rsidSect="006D73BA">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482"/>
    <w:multiLevelType w:val="hybridMultilevel"/>
    <w:tmpl w:val="2E24697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3DA48AE"/>
    <w:multiLevelType w:val="hybridMultilevel"/>
    <w:tmpl w:val="F1108196"/>
    <w:lvl w:ilvl="0" w:tplc="9CEA5EDE">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5A753A1"/>
    <w:multiLevelType w:val="hybridMultilevel"/>
    <w:tmpl w:val="1B9C95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D253A3"/>
    <w:multiLevelType w:val="multilevel"/>
    <w:tmpl w:val="AFA6253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5675F0F"/>
    <w:multiLevelType w:val="hybridMultilevel"/>
    <w:tmpl w:val="AA9CBF9E"/>
    <w:lvl w:ilvl="0" w:tplc="CAC6CB0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82368F"/>
    <w:multiLevelType w:val="hybridMultilevel"/>
    <w:tmpl w:val="F69C7AF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A816FC2"/>
    <w:multiLevelType w:val="multilevel"/>
    <w:tmpl w:val="17F433E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i w:val="0"/>
        <w:color w:val="auto"/>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C411B9B"/>
    <w:multiLevelType w:val="hybridMultilevel"/>
    <w:tmpl w:val="6974DE2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58D23488"/>
    <w:multiLevelType w:val="hybridMultilevel"/>
    <w:tmpl w:val="3596129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0A86197"/>
    <w:multiLevelType w:val="hybridMultilevel"/>
    <w:tmpl w:val="65CCC60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9064E5D"/>
    <w:multiLevelType w:val="hybridMultilevel"/>
    <w:tmpl w:val="5AFA9CB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4C44BD9"/>
    <w:multiLevelType w:val="multilevel"/>
    <w:tmpl w:val="F2A09F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6266DE1"/>
    <w:multiLevelType w:val="hybridMultilevel"/>
    <w:tmpl w:val="6374D9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6C82ADA"/>
    <w:multiLevelType w:val="hybridMultilevel"/>
    <w:tmpl w:val="4CF2493C"/>
    <w:lvl w:ilvl="0" w:tplc="04250001">
      <w:start w:val="1"/>
      <w:numFmt w:val="bullet"/>
      <w:lvlText w:val=""/>
      <w:lvlJc w:val="left"/>
      <w:pPr>
        <w:ind w:left="1496" w:hanging="360"/>
      </w:pPr>
      <w:rPr>
        <w:rFonts w:ascii="Symbol" w:hAnsi="Symbol" w:hint="default"/>
      </w:rPr>
    </w:lvl>
    <w:lvl w:ilvl="1" w:tplc="04250003">
      <w:start w:val="1"/>
      <w:numFmt w:val="bullet"/>
      <w:lvlText w:val="o"/>
      <w:lvlJc w:val="left"/>
      <w:pPr>
        <w:ind w:left="2216" w:hanging="360"/>
      </w:pPr>
      <w:rPr>
        <w:rFonts w:ascii="Courier New" w:hAnsi="Courier New" w:cs="Courier New" w:hint="default"/>
      </w:rPr>
    </w:lvl>
    <w:lvl w:ilvl="2" w:tplc="04250005" w:tentative="1">
      <w:start w:val="1"/>
      <w:numFmt w:val="bullet"/>
      <w:lvlText w:val=""/>
      <w:lvlJc w:val="left"/>
      <w:pPr>
        <w:ind w:left="2936" w:hanging="360"/>
      </w:pPr>
      <w:rPr>
        <w:rFonts w:ascii="Wingdings" w:hAnsi="Wingdings" w:hint="default"/>
      </w:rPr>
    </w:lvl>
    <w:lvl w:ilvl="3" w:tplc="04250001" w:tentative="1">
      <w:start w:val="1"/>
      <w:numFmt w:val="bullet"/>
      <w:lvlText w:val=""/>
      <w:lvlJc w:val="left"/>
      <w:pPr>
        <w:ind w:left="3656" w:hanging="360"/>
      </w:pPr>
      <w:rPr>
        <w:rFonts w:ascii="Symbol" w:hAnsi="Symbol" w:hint="default"/>
      </w:rPr>
    </w:lvl>
    <w:lvl w:ilvl="4" w:tplc="04250003" w:tentative="1">
      <w:start w:val="1"/>
      <w:numFmt w:val="bullet"/>
      <w:lvlText w:val="o"/>
      <w:lvlJc w:val="left"/>
      <w:pPr>
        <w:ind w:left="4376" w:hanging="360"/>
      </w:pPr>
      <w:rPr>
        <w:rFonts w:ascii="Courier New" w:hAnsi="Courier New" w:cs="Courier New" w:hint="default"/>
      </w:rPr>
    </w:lvl>
    <w:lvl w:ilvl="5" w:tplc="04250005" w:tentative="1">
      <w:start w:val="1"/>
      <w:numFmt w:val="bullet"/>
      <w:lvlText w:val=""/>
      <w:lvlJc w:val="left"/>
      <w:pPr>
        <w:ind w:left="5096" w:hanging="360"/>
      </w:pPr>
      <w:rPr>
        <w:rFonts w:ascii="Wingdings" w:hAnsi="Wingdings" w:hint="default"/>
      </w:rPr>
    </w:lvl>
    <w:lvl w:ilvl="6" w:tplc="04250001" w:tentative="1">
      <w:start w:val="1"/>
      <w:numFmt w:val="bullet"/>
      <w:lvlText w:val=""/>
      <w:lvlJc w:val="left"/>
      <w:pPr>
        <w:ind w:left="5816" w:hanging="360"/>
      </w:pPr>
      <w:rPr>
        <w:rFonts w:ascii="Symbol" w:hAnsi="Symbol" w:hint="default"/>
      </w:rPr>
    </w:lvl>
    <w:lvl w:ilvl="7" w:tplc="04250003" w:tentative="1">
      <w:start w:val="1"/>
      <w:numFmt w:val="bullet"/>
      <w:lvlText w:val="o"/>
      <w:lvlJc w:val="left"/>
      <w:pPr>
        <w:ind w:left="6536" w:hanging="360"/>
      </w:pPr>
      <w:rPr>
        <w:rFonts w:ascii="Courier New" w:hAnsi="Courier New" w:cs="Courier New" w:hint="default"/>
      </w:rPr>
    </w:lvl>
    <w:lvl w:ilvl="8" w:tplc="04250005" w:tentative="1">
      <w:start w:val="1"/>
      <w:numFmt w:val="bullet"/>
      <w:lvlText w:val=""/>
      <w:lvlJc w:val="left"/>
      <w:pPr>
        <w:ind w:left="7256" w:hanging="360"/>
      </w:pPr>
      <w:rPr>
        <w:rFonts w:ascii="Wingdings" w:hAnsi="Wingdings" w:hint="default"/>
      </w:rPr>
    </w:lvl>
  </w:abstractNum>
  <w:num w:numId="1">
    <w:abstractNumId w:val="11"/>
  </w:num>
  <w:num w:numId="2">
    <w:abstractNumId w:val="13"/>
  </w:num>
  <w:num w:numId="3">
    <w:abstractNumId w:val="1"/>
  </w:num>
  <w:num w:numId="4">
    <w:abstractNumId w:val="7"/>
  </w:num>
  <w:num w:numId="5">
    <w:abstractNumId w:val="12"/>
  </w:num>
  <w:num w:numId="6">
    <w:abstractNumId w:val="6"/>
  </w:num>
  <w:num w:numId="7">
    <w:abstractNumId w:val="10"/>
  </w:num>
  <w:num w:numId="8">
    <w:abstractNumId w:val="5"/>
  </w:num>
  <w:num w:numId="9">
    <w:abstractNumId w:val="8"/>
  </w:num>
  <w:num w:numId="10">
    <w:abstractNumId w:val="9"/>
  </w:num>
  <w:num w:numId="11">
    <w:abstractNumId w:val="4"/>
  </w:num>
  <w:num w:numId="12">
    <w:abstractNumId w:val="2"/>
  </w:num>
  <w:num w:numId="13">
    <w:abstractNumId w:val="0"/>
  </w:num>
  <w:num w:numId="14">
    <w:abstractNumId w:val="3"/>
  </w:num>
  <w:num w:numId="15">
    <w:abstractNumId w:val="6"/>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1E"/>
    <w:rsid w:val="0007121E"/>
    <w:rsid w:val="000D26ED"/>
    <w:rsid w:val="001B4B4B"/>
    <w:rsid w:val="002F6DCE"/>
    <w:rsid w:val="004476C4"/>
    <w:rsid w:val="006D73BA"/>
    <w:rsid w:val="008B405F"/>
    <w:rsid w:val="009347C4"/>
    <w:rsid w:val="009C1923"/>
    <w:rsid w:val="00D77861"/>
    <w:rsid w:val="00E54B32"/>
    <w:rsid w:val="00F43F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A3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07121E"/>
    <w:pPr>
      <w:keepNext/>
      <w:numPr>
        <w:numId w:val="6"/>
      </w:numPr>
      <w:jc w:val="both"/>
      <w:outlineLvl w:val="0"/>
    </w:pPr>
    <w:rPr>
      <w:b/>
      <w:bCs/>
      <w:szCs w:val="22"/>
    </w:rPr>
  </w:style>
  <w:style w:type="paragraph" w:styleId="Heading2">
    <w:name w:val="heading 2"/>
    <w:basedOn w:val="Normal"/>
    <w:next w:val="Normal"/>
    <w:link w:val="Heading2Char"/>
    <w:uiPriority w:val="99"/>
    <w:rsid w:val="0007121E"/>
    <w:pPr>
      <w:keepNext/>
      <w:numPr>
        <w:ilvl w:val="1"/>
        <w:numId w:val="6"/>
      </w:numPr>
      <w:outlineLvl w:val="1"/>
    </w:pPr>
  </w:style>
  <w:style w:type="paragraph" w:styleId="Heading3">
    <w:name w:val="heading 3"/>
    <w:basedOn w:val="Normal"/>
    <w:next w:val="Normal"/>
    <w:link w:val="Heading3Char"/>
    <w:uiPriority w:val="99"/>
    <w:qFormat/>
    <w:rsid w:val="0007121E"/>
    <w:pPr>
      <w:keepNext/>
      <w:numPr>
        <w:ilvl w:val="2"/>
        <w:numId w:val="6"/>
      </w:numPr>
      <w:jc w:val="both"/>
      <w:outlineLvl w:val="2"/>
    </w:pPr>
  </w:style>
  <w:style w:type="paragraph" w:styleId="Heading4">
    <w:name w:val="heading 4"/>
    <w:basedOn w:val="Normal"/>
    <w:next w:val="Normal"/>
    <w:link w:val="Heading4Char"/>
    <w:uiPriority w:val="99"/>
    <w:qFormat/>
    <w:rsid w:val="0007121E"/>
    <w:pPr>
      <w:keepNext/>
      <w:numPr>
        <w:ilvl w:val="3"/>
        <w:numId w:val="6"/>
      </w:numPr>
      <w:jc w:val="center"/>
      <w:outlineLvl w:val="3"/>
    </w:pPr>
    <w:rPr>
      <w:b/>
      <w:bCs/>
    </w:rPr>
  </w:style>
  <w:style w:type="paragraph" w:styleId="Heading5">
    <w:name w:val="heading 5"/>
    <w:basedOn w:val="Normal"/>
    <w:next w:val="Normal"/>
    <w:link w:val="Heading5Char"/>
    <w:uiPriority w:val="99"/>
    <w:qFormat/>
    <w:rsid w:val="0007121E"/>
    <w:pPr>
      <w:keepNext/>
      <w:numPr>
        <w:ilvl w:val="4"/>
        <w:numId w:val="6"/>
      </w:numPr>
      <w:outlineLvl w:val="4"/>
    </w:pPr>
    <w:rPr>
      <w:lang w:val="de-DE"/>
    </w:rPr>
  </w:style>
  <w:style w:type="paragraph" w:styleId="Heading6">
    <w:name w:val="heading 6"/>
    <w:basedOn w:val="Normal"/>
    <w:next w:val="Normal"/>
    <w:link w:val="Heading6Char"/>
    <w:uiPriority w:val="99"/>
    <w:qFormat/>
    <w:rsid w:val="0007121E"/>
    <w:pPr>
      <w:keepNext/>
      <w:numPr>
        <w:ilvl w:val="5"/>
        <w:numId w:val="6"/>
      </w:numPr>
      <w:jc w:val="both"/>
      <w:outlineLvl w:val="5"/>
    </w:pPr>
    <w:rPr>
      <w:b/>
      <w:bCs/>
    </w:rPr>
  </w:style>
  <w:style w:type="paragraph" w:styleId="Heading7">
    <w:name w:val="heading 7"/>
    <w:basedOn w:val="Normal"/>
    <w:next w:val="Normal"/>
    <w:link w:val="Heading7Char"/>
    <w:uiPriority w:val="99"/>
    <w:qFormat/>
    <w:rsid w:val="0007121E"/>
    <w:pPr>
      <w:keepNext/>
      <w:numPr>
        <w:ilvl w:val="6"/>
        <w:numId w:val="6"/>
      </w:numPr>
      <w:jc w:val="both"/>
      <w:outlineLvl w:val="6"/>
    </w:pPr>
    <w:rPr>
      <w:b/>
      <w:bCs/>
    </w:rPr>
  </w:style>
  <w:style w:type="paragraph" w:styleId="Heading8">
    <w:name w:val="heading 8"/>
    <w:basedOn w:val="Normal"/>
    <w:next w:val="Normal"/>
    <w:link w:val="Heading8Char"/>
    <w:uiPriority w:val="99"/>
    <w:qFormat/>
    <w:rsid w:val="0007121E"/>
    <w:pPr>
      <w:keepNext/>
      <w:numPr>
        <w:ilvl w:val="7"/>
        <w:numId w:val="6"/>
      </w:numPr>
      <w:jc w:val="both"/>
      <w:outlineLvl w:val="7"/>
    </w:pPr>
  </w:style>
  <w:style w:type="paragraph" w:styleId="Heading9">
    <w:name w:val="heading 9"/>
    <w:basedOn w:val="Normal"/>
    <w:next w:val="Normal"/>
    <w:link w:val="Heading9Char"/>
    <w:uiPriority w:val="99"/>
    <w:qFormat/>
    <w:rsid w:val="0007121E"/>
    <w:pPr>
      <w:keepNext/>
      <w:numPr>
        <w:ilvl w:val="8"/>
        <w:numId w:val="6"/>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121E"/>
    <w:rPr>
      <w:rFonts w:ascii="Times New Roman" w:eastAsia="Times New Roman" w:hAnsi="Times New Roman" w:cs="Times New Roman"/>
      <w:b/>
      <w:bCs/>
      <w:sz w:val="24"/>
      <w:lang w:eastAsia="ar-SA"/>
    </w:rPr>
  </w:style>
  <w:style w:type="character" w:customStyle="1" w:styleId="Heading2Char">
    <w:name w:val="Heading 2 Char"/>
    <w:basedOn w:val="DefaultParagraphFont"/>
    <w:link w:val="Heading2"/>
    <w:uiPriority w:val="99"/>
    <w:rsid w:val="0007121E"/>
    <w:rPr>
      <w:rFonts w:ascii="Times New Roman" w:eastAsia="Times New Roman" w:hAnsi="Times New Roman" w:cs="Times New Roman"/>
      <w:sz w:val="24"/>
      <w:szCs w:val="24"/>
      <w:lang w:eastAsia="ar-SA"/>
    </w:rPr>
  </w:style>
  <w:style w:type="character" w:customStyle="1" w:styleId="Heading3Char">
    <w:name w:val="Heading 3 Char"/>
    <w:basedOn w:val="DefaultParagraphFont"/>
    <w:link w:val="Heading3"/>
    <w:uiPriority w:val="99"/>
    <w:rsid w:val="0007121E"/>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9"/>
    <w:rsid w:val="0007121E"/>
    <w:rPr>
      <w:rFonts w:ascii="Times New Roman" w:eastAsia="Times New Roman" w:hAnsi="Times New Roman" w:cs="Times New Roman"/>
      <w:b/>
      <w:bCs/>
      <w:sz w:val="24"/>
      <w:szCs w:val="24"/>
      <w:lang w:eastAsia="ar-SA"/>
    </w:rPr>
  </w:style>
  <w:style w:type="character" w:customStyle="1" w:styleId="Heading5Char">
    <w:name w:val="Heading 5 Char"/>
    <w:basedOn w:val="DefaultParagraphFont"/>
    <w:link w:val="Heading5"/>
    <w:uiPriority w:val="99"/>
    <w:rsid w:val="0007121E"/>
    <w:rPr>
      <w:rFonts w:ascii="Times New Roman" w:eastAsia="Times New Roman" w:hAnsi="Times New Roman" w:cs="Times New Roman"/>
      <w:sz w:val="24"/>
      <w:szCs w:val="24"/>
      <w:lang w:val="de-DE" w:eastAsia="ar-SA"/>
    </w:rPr>
  </w:style>
  <w:style w:type="character" w:customStyle="1" w:styleId="Heading6Char">
    <w:name w:val="Heading 6 Char"/>
    <w:basedOn w:val="DefaultParagraphFont"/>
    <w:link w:val="Heading6"/>
    <w:uiPriority w:val="99"/>
    <w:rsid w:val="0007121E"/>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uiPriority w:val="99"/>
    <w:rsid w:val="0007121E"/>
    <w:rPr>
      <w:rFonts w:ascii="Times New Roman" w:eastAsia="Times New Roman" w:hAnsi="Times New Roman" w:cs="Times New Roman"/>
      <w:b/>
      <w:bCs/>
      <w:sz w:val="24"/>
      <w:szCs w:val="24"/>
      <w:lang w:eastAsia="ar-SA"/>
    </w:rPr>
  </w:style>
  <w:style w:type="character" w:customStyle="1" w:styleId="Heading8Char">
    <w:name w:val="Heading 8 Char"/>
    <w:basedOn w:val="DefaultParagraphFont"/>
    <w:link w:val="Heading8"/>
    <w:uiPriority w:val="99"/>
    <w:rsid w:val="0007121E"/>
    <w:rPr>
      <w:rFonts w:ascii="Times New Roman" w:eastAsia="Times New Roman" w:hAnsi="Times New Roman" w:cs="Times New Roman"/>
      <w:sz w:val="24"/>
      <w:szCs w:val="24"/>
      <w:lang w:eastAsia="ar-SA"/>
    </w:rPr>
  </w:style>
  <w:style w:type="character" w:customStyle="1" w:styleId="Heading9Char">
    <w:name w:val="Heading 9 Char"/>
    <w:basedOn w:val="DefaultParagraphFont"/>
    <w:link w:val="Heading9"/>
    <w:uiPriority w:val="99"/>
    <w:rsid w:val="0007121E"/>
    <w:rPr>
      <w:rFonts w:ascii="Times New Roman" w:eastAsia="Times New Roman" w:hAnsi="Times New Roman" w:cs="Times New Roman"/>
      <w:b/>
      <w:bCs/>
      <w:sz w:val="24"/>
      <w:szCs w:val="24"/>
      <w:lang w:eastAsia="ar-SA"/>
    </w:rPr>
  </w:style>
  <w:style w:type="paragraph" w:styleId="BodyText3">
    <w:name w:val="Body Text 3"/>
    <w:basedOn w:val="Normal"/>
    <w:link w:val="BodyText3Char"/>
    <w:uiPriority w:val="99"/>
    <w:rsid w:val="0007121E"/>
    <w:pPr>
      <w:jc w:val="both"/>
    </w:pPr>
    <w:rPr>
      <w:b/>
      <w:bCs/>
      <w:color w:val="0000FF"/>
    </w:rPr>
  </w:style>
  <w:style w:type="character" w:customStyle="1" w:styleId="BodyText3Char">
    <w:name w:val="Body Text 3 Char"/>
    <w:basedOn w:val="DefaultParagraphFont"/>
    <w:link w:val="BodyText3"/>
    <w:uiPriority w:val="99"/>
    <w:rsid w:val="0007121E"/>
    <w:rPr>
      <w:rFonts w:ascii="Times New Roman" w:eastAsia="Times New Roman" w:hAnsi="Times New Roman" w:cs="Times New Roman"/>
      <w:b/>
      <w:bCs/>
      <w:color w:val="0000FF"/>
      <w:sz w:val="24"/>
      <w:szCs w:val="24"/>
      <w:lang w:eastAsia="ar-SA"/>
    </w:rPr>
  </w:style>
  <w:style w:type="paragraph" w:styleId="CommentText">
    <w:name w:val="annotation text"/>
    <w:basedOn w:val="Normal"/>
    <w:link w:val="CommentTextChar"/>
    <w:uiPriority w:val="99"/>
    <w:semiHidden/>
    <w:rsid w:val="0007121E"/>
    <w:rPr>
      <w:sz w:val="20"/>
      <w:szCs w:val="20"/>
    </w:rPr>
  </w:style>
  <w:style w:type="character" w:customStyle="1" w:styleId="CommentTextChar">
    <w:name w:val="Comment Text Char"/>
    <w:basedOn w:val="DefaultParagraphFont"/>
    <w:link w:val="CommentText"/>
    <w:uiPriority w:val="99"/>
    <w:semiHidden/>
    <w:rsid w:val="0007121E"/>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07121E"/>
    <w:pPr>
      <w:ind w:left="720"/>
      <w:contextualSpacing/>
    </w:pPr>
  </w:style>
  <w:style w:type="character" w:styleId="Hyperlink">
    <w:name w:val="Hyperlink"/>
    <w:uiPriority w:val="99"/>
    <w:unhideWhenUsed/>
    <w:rsid w:val="009C1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etlikudteadaanded.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Kutse andmise kord_03.2022</Template>
  <TotalTime>1</TotalTime>
  <Pages>5</Pages>
  <Words>1800</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 Lepikson</dc:creator>
  <cp:keywords/>
  <dc:description/>
  <cp:lastModifiedBy>Agne Lepikson</cp:lastModifiedBy>
  <cp:revision>2</cp:revision>
  <dcterms:created xsi:type="dcterms:W3CDTF">2022-03-25T06:12:00Z</dcterms:created>
  <dcterms:modified xsi:type="dcterms:W3CDTF">2022-03-25T06:12:00Z</dcterms:modified>
</cp:coreProperties>
</file>